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5388"/>
      </w:tblGrid>
      <w:tr w:rsidR="00A81BF2" w:rsidRPr="00462F87" w:rsidTr="003B29B5">
        <w:trPr>
          <w:trHeight w:val="690"/>
        </w:trPr>
        <w:tc>
          <w:tcPr>
            <w:tcW w:w="15388" w:type="dxa"/>
            <w:noWrap/>
            <w:vAlign w:val="center"/>
            <w:hideMark/>
          </w:tcPr>
          <w:p w:rsidR="00A81BF2" w:rsidRPr="003B29B5" w:rsidRDefault="001D6891" w:rsidP="003B29B5">
            <w:pPr>
              <w:tabs>
                <w:tab w:val="left" w:pos="240"/>
                <w:tab w:val="center" w:pos="7586"/>
              </w:tabs>
              <w:rPr>
                <w:b/>
                <w:sz w:val="28"/>
              </w:rPr>
            </w:pPr>
            <w:r>
              <w:rPr>
                <w:b/>
                <w:sz w:val="28"/>
              </w:rPr>
              <w:tab/>
            </w:r>
            <w:r>
              <w:rPr>
                <w:b/>
                <w:sz w:val="28"/>
              </w:rPr>
              <w:tab/>
            </w:r>
            <w:r w:rsidR="00A81BF2" w:rsidRPr="00A81BF2">
              <w:rPr>
                <w:b/>
                <w:sz w:val="28"/>
              </w:rPr>
              <w:t>DECLARACION DE CONTENIDOS DEL PROGRAMA DE FORMACIÓN A RECONOCER</w:t>
            </w:r>
            <w:r w:rsidR="00A81BF2">
              <w:rPr>
                <w:b/>
                <w:sz w:val="28"/>
              </w:rPr>
              <w:t xml:space="preserve"> POR IVAC</w:t>
            </w:r>
          </w:p>
        </w:tc>
      </w:tr>
      <w:tr w:rsidR="003B29B5" w:rsidRPr="00462F87" w:rsidTr="00973356">
        <w:trPr>
          <w:trHeight w:val="690"/>
        </w:trPr>
        <w:tc>
          <w:tcPr>
            <w:tcW w:w="15388" w:type="dxa"/>
            <w:noWrap/>
          </w:tcPr>
          <w:p w:rsidR="003B29B5" w:rsidRPr="00565933" w:rsidRDefault="003B29B5" w:rsidP="003B29B5">
            <w:pPr>
              <w:rPr>
                <w:sz w:val="28"/>
              </w:rPr>
            </w:pPr>
            <w:r w:rsidRPr="00A81BF2">
              <w:rPr>
                <w:b/>
                <w:color w:val="FF0000"/>
                <w:sz w:val="28"/>
              </w:rPr>
              <w:t>Importante:</w:t>
            </w:r>
            <w:r w:rsidRPr="00A81BF2">
              <w:rPr>
                <w:color w:val="FF0000"/>
                <w:sz w:val="28"/>
              </w:rPr>
              <w:t xml:space="preserve"> </w:t>
            </w:r>
          </w:p>
          <w:p w:rsidR="003B29B5" w:rsidRPr="00565933" w:rsidRDefault="003B29B5" w:rsidP="003B29B5">
            <w:pPr>
              <w:rPr>
                <w:b/>
              </w:rPr>
            </w:pPr>
            <w:r w:rsidRPr="00565933">
              <w:rPr>
                <w:b/>
              </w:rPr>
              <w:t>Entidades de formación:</w:t>
            </w:r>
          </w:p>
          <w:p w:rsidR="003B29B5" w:rsidRPr="00565933" w:rsidRDefault="003B29B5" w:rsidP="003B29B5">
            <w:r w:rsidRPr="00565933">
              <w:t xml:space="preserve">Debe completarse este documento por cada curso que se pretenda reconocer (60 h, 100, o 180h) en caso de ser una entidad de formación. </w:t>
            </w:r>
          </w:p>
          <w:p w:rsidR="003B29B5" w:rsidRPr="00565933" w:rsidRDefault="003B29B5" w:rsidP="003B29B5">
            <w:pPr>
              <w:rPr>
                <w:b/>
              </w:rPr>
            </w:pPr>
            <w:r w:rsidRPr="00565933">
              <w:rPr>
                <w:b/>
              </w:rPr>
              <w:t xml:space="preserve">Candidatos: </w:t>
            </w:r>
          </w:p>
          <w:p w:rsidR="003B29B5" w:rsidRPr="00565933" w:rsidRDefault="003B29B5" w:rsidP="003B29B5">
            <w:r w:rsidRPr="00565933">
              <w:t xml:space="preserve">Los candidatos incluirán en los apartados correspondientes, los temas correspondientes a cada su epígrafe del esquema AEPD-DPD. Si el programa a reconocer </w:t>
            </w:r>
            <w:proofErr w:type="spellStart"/>
            <w:r w:rsidRPr="00565933">
              <w:t>esta</w:t>
            </w:r>
            <w:proofErr w:type="spellEnd"/>
            <w:r w:rsidRPr="00565933">
              <w:t xml:space="preserve"> compuesto por varios cursos. Deberá indicar el </w:t>
            </w:r>
            <w:proofErr w:type="spellStart"/>
            <w:r w:rsidRPr="00565933">
              <w:t>titulo</w:t>
            </w:r>
            <w:proofErr w:type="spellEnd"/>
            <w:r w:rsidRPr="00565933">
              <w:t xml:space="preserve"> del curso y el tema concreto que corresponda.</w:t>
            </w:r>
          </w:p>
          <w:p w:rsidR="003B29B5" w:rsidRPr="00565933" w:rsidRDefault="003B29B5" w:rsidP="003B29B5">
            <w:pPr>
              <w:rPr>
                <w:b/>
              </w:rPr>
            </w:pPr>
            <w:r w:rsidRPr="00565933">
              <w:rPr>
                <w:b/>
              </w:rPr>
              <w:t>En ambos casos se deberá mandar en PDF firmado y WORD para poder completar la verificación.</w:t>
            </w:r>
          </w:p>
          <w:p w:rsidR="003B29B5" w:rsidRDefault="003B29B5" w:rsidP="001D6891">
            <w:pPr>
              <w:tabs>
                <w:tab w:val="left" w:pos="240"/>
                <w:tab w:val="center" w:pos="7586"/>
              </w:tabs>
              <w:rPr>
                <w:b/>
                <w:sz w:val="28"/>
              </w:rPr>
            </w:pPr>
          </w:p>
        </w:tc>
      </w:tr>
    </w:tbl>
    <w:p w:rsidR="00891C0E" w:rsidRDefault="00891C0E"/>
    <w:tbl>
      <w:tblPr>
        <w:tblStyle w:val="Tablaconcuadrcula"/>
        <w:tblW w:w="0" w:type="auto"/>
        <w:tblLook w:val="04A0" w:firstRow="1" w:lastRow="0" w:firstColumn="1" w:lastColumn="0" w:noHBand="0" w:noVBand="1"/>
      </w:tblPr>
      <w:tblGrid>
        <w:gridCol w:w="6918"/>
        <w:gridCol w:w="6309"/>
        <w:gridCol w:w="865"/>
        <w:gridCol w:w="1296"/>
      </w:tblGrid>
      <w:tr w:rsidR="00462F87" w:rsidRPr="00462F87" w:rsidTr="00891C0E">
        <w:trPr>
          <w:trHeight w:val="360"/>
          <w:tblHeader/>
        </w:trPr>
        <w:tc>
          <w:tcPr>
            <w:tcW w:w="15388" w:type="dxa"/>
            <w:gridSpan w:val="4"/>
            <w:shd w:val="clear" w:color="auto" w:fill="FBE4D5" w:themeFill="accent2" w:themeFillTint="33"/>
            <w:noWrap/>
          </w:tcPr>
          <w:p w:rsidR="00462F87" w:rsidRPr="00462F87" w:rsidRDefault="00462F87" w:rsidP="00462F87">
            <w:pPr>
              <w:rPr>
                <w:b/>
                <w:bCs/>
              </w:rPr>
            </w:pPr>
            <w:r w:rsidRPr="00462F87">
              <w:rPr>
                <w:b/>
                <w:bCs/>
                <w:sz w:val="32"/>
              </w:rPr>
              <w:t>DOMINIO 1</w:t>
            </w:r>
          </w:p>
        </w:tc>
      </w:tr>
      <w:tr w:rsidR="00891C0E" w:rsidRPr="00462F87" w:rsidTr="00891C0E">
        <w:trPr>
          <w:trHeight w:val="360"/>
          <w:tblHeader/>
        </w:trPr>
        <w:tc>
          <w:tcPr>
            <w:tcW w:w="6918" w:type="dxa"/>
            <w:tcBorders>
              <w:bottom w:val="single" w:sz="4" w:space="0" w:color="auto"/>
            </w:tcBorders>
            <w:noWrap/>
            <w:vAlign w:val="center"/>
            <w:hideMark/>
          </w:tcPr>
          <w:p w:rsidR="00891C0E" w:rsidRPr="00462F87" w:rsidRDefault="00891C0E" w:rsidP="00B420B5">
            <w:pPr>
              <w:rPr>
                <w:b/>
                <w:bCs/>
              </w:rPr>
            </w:pPr>
            <w:bookmarkStart w:id="0" w:name="_Hlk510788379"/>
            <w:r w:rsidRPr="00462F87">
              <w:rPr>
                <w:b/>
                <w:bCs/>
              </w:rPr>
              <w:t>PROGRAMA AEPD</w:t>
            </w:r>
          </w:p>
        </w:tc>
        <w:tc>
          <w:tcPr>
            <w:tcW w:w="6309" w:type="dxa"/>
            <w:tcBorders>
              <w:bottom w:val="single" w:sz="4" w:space="0" w:color="auto"/>
            </w:tcBorders>
            <w:noWrap/>
            <w:vAlign w:val="center"/>
            <w:hideMark/>
          </w:tcPr>
          <w:p w:rsidR="00891C0E" w:rsidRPr="00462F87" w:rsidRDefault="00891C0E" w:rsidP="00B420B5">
            <w:pPr>
              <w:rPr>
                <w:b/>
                <w:bCs/>
              </w:rPr>
            </w:pPr>
            <w:r w:rsidRPr="00462F87">
              <w:rPr>
                <w:b/>
                <w:bCs/>
              </w:rPr>
              <w:t xml:space="preserve">PROGRAMA OBJETO </w:t>
            </w:r>
            <w:r w:rsidRPr="00462F87">
              <w:rPr>
                <w:b/>
                <w:bCs/>
              </w:rPr>
              <w:t>DE RECONOCIMIENTO</w:t>
            </w:r>
          </w:p>
        </w:tc>
        <w:tc>
          <w:tcPr>
            <w:tcW w:w="865" w:type="dxa"/>
            <w:tcBorders>
              <w:bottom w:val="single" w:sz="4" w:space="0" w:color="auto"/>
            </w:tcBorders>
            <w:noWrap/>
            <w:vAlign w:val="center"/>
            <w:hideMark/>
          </w:tcPr>
          <w:p w:rsidR="00891C0E" w:rsidRPr="00462F87" w:rsidRDefault="00891C0E" w:rsidP="00B420B5">
            <w:pPr>
              <w:rPr>
                <w:b/>
                <w:bCs/>
              </w:rPr>
            </w:pPr>
            <w:r w:rsidRPr="00462F87">
              <w:rPr>
                <w:b/>
                <w:bCs/>
              </w:rPr>
              <w:t xml:space="preserve">HORAS </w:t>
            </w:r>
          </w:p>
        </w:tc>
        <w:tc>
          <w:tcPr>
            <w:tcW w:w="1296" w:type="dxa"/>
            <w:tcBorders>
              <w:bottom w:val="single" w:sz="4" w:space="0" w:color="auto"/>
            </w:tcBorders>
            <w:noWrap/>
            <w:vAlign w:val="center"/>
            <w:hideMark/>
          </w:tcPr>
          <w:p w:rsidR="00891C0E" w:rsidRPr="00462F87" w:rsidRDefault="00891C0E" w:rsidP="00B420B5">
            <w:pPr>
              <w:jc w:val="center"/>
              <w:rPr>
                <w:b/>
                <w:bCs/>
              </w:rPr>
            </w:pPr>
            <w:r w:rsidRPr="00462F87">
              <w:rPr>
                <w:b/>
                <w:bCs/>
              </w:rPr>
              <w:t xml:space="preserve">Verificación </w:t>
            </w:r>
            <w:r>
              <w:rPr>
                <w:b/>
                <w:bCs/>
              </w:rPr>
              <w:t>IVAC</w:t>
            </w:r>
          </w:p>
        </w:tc>
      </w:tr>
      <w:bookmarkEnd w:id="0"/>
      <w:tr w:rsidR="00462F87" w:rsidRPr="00462F87" w:rsidTr="00462F87">
        <w:trPr>
          <w:trHeight w:val="315"/>
        </w:trPr>
        <w:tc>
          <w:tcPr>
            <w:tcW w:w="6918" w:type="dxa"/>
            <w:noWrap/>
            <w:hideMark/>
          </w:tcPr>
          <w:p w:rsidR="00462F87" w:rsidRPr="00462F87" w:rsidRDefault="00462F87">
            <w:pPr>
              <w:rPr>
                <w:b/>
                <w:bCs/>
              </w:rPr>
            </w:pPr>
            <w:r w:rsidRPr="00462F87">
              <w:rPr>
                <w:b/>
                <w:bCs/>
              </w:rPr>
              <w:t xml:space="preserve">1.1. Contexto normativo. </w:t>
            </w:r>
          </w:p>
        </w:tc>
        <w:tc>
          <w:tcPr>
            <w:tcW w:w="6309" w:type="dxa"/>
            <w:noWrap/>
            <w:hideMark/>
          </w:tcPr>
          <w:p w:rsidR="00462F87" w:rsidRPr="00462F87" w:rsidRDefault="00462F87">
            <w:pPr>
              <w:rPr>
                <w:b/>
                <w:bCs/>
              </w:rPr>
            </w:pPr>
          </w:p>
        </w:tc>
        <w:tc>
          <w:tcPr>
            <w:tcW w:w="865" w:type="dxa"/>
            <w:vMerge w:val="restart"/>
            <w:noWrap/>
            <w:hideMark/>
          </w:tcPr>
          <w:p w:rsidR="00462F87" w:rsidRPr="00462F87" w:rsidRDefault="00462F87" w:rsidP="00462F87">
            <w:r w:rsidRPr="00462F87">
              <w:t> </w:t>
            </w:r>
          </w:p>
        </w:tc>
        <w:tc>
          <w:tcPr>
            <w:tcW w:w="1296" w:type="dxa"/>
            <w:noWrap/>
            <w:hideMark/>
          </w:tcPr>
          <w:p w:rsidR="00462F87" w:rsidRPr="00462F87" w:rsidRDefault="00462F87" w:rsidP="00462F87"/>
        </w:tc>
      </w:tr>
      <w:tr w:rsidR="00462F87" w:rsidRPr="00462F87" w:rsidTr="00462F87">
        <w:trPr>
          <w:trHeight w:val="300"/>
        </w:trPr>
        <w:tc>
          <w:tcPr>
            <w:tcW w:w="6918" w:type="dxa"/>
            <w:noWrap/>
            <w:hideMark/>
          </w:tcPr>
          <w:p w:rsidR="00462F87" w:rsidRPr="00462F87" w:rsidRDefault="00462F87">
            <w:r w:rsidRPr="00462F87">
              <w:t xml:space="preserve">1.1.1. Privacidad y protección de datos en el panorama internacional.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1.1.2. La protección de datos en Europa.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1.1.3. La protección de datos en España.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1.1.4. Estándares y buenas prácticas.</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120"/>
        </w:trPr>
        <w:tc>
          <w:tcPr>
            <w:tcW w:w="6918" w:type="dxa"/>
            <w:noWrap/>
            <w:hideMark/>
          </w:tcPr>
          <w:p w:rsidR="00462F87" w:rsidRPr="00462F87" w:rsidRDefault="00462F87">
            <w:r w:rsidRPr="00462F87">
              <w:t> </w:t>
            </w:r>
          </w:p>
        </w:tc>
        <w:tc>
          <w:tcPr>
            <w:tcW w:w="6309" w:type="dxa"/>
            <w:noWrap/>
            <w:hideMark/>
          </w:tcPr>
          <w:p w:rsidR="00462F87" w:rsidRPr="00462F87" w:rsidRDefault="00462F87">
            <w:r w:rsidRPr="00462F87">
              <w:t> </w:t>
            </w:r>
          </w:p>
        </w:tc>
        <w:tc>
          <w:tcPr>
            <w:tcW w:w="865" w:type="dxa"/>
            <w:noWrap/>
            <w:hideMark/>
          </w:tcPr>
          <w:p w:rsidR="00462F87" w:rsidRPr="00462F87" w:rsidRDefault="00462F87">
            <w:r w:rsidRPr="00462F87">
              <w:t> </w:t>
            </w:r>
          </w:p>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pPr>
              <w:rPr>
                <w:b/>
                <w:bCs/>
              </w:rPr>
            </w:pPr>
            <w:r w:rsidRPr="00462F87">
              <w:rPr>
                <w:b/>
                <w:bCs/>
              </w:rPr>
              <w:t xml:space="preserve">1.2. El Reglamento Europeo de Protección de datos y actualización de LOPD. Fundamentos. </w:t>
            </w:r>
          </w:p>
        </w:tc>
        <w:tc>
          <w:tcPr>
            <w:tcW w:w="6309" w:type="dxa"/>
            <w:noWrap/>
            <w:hideMark/>
          </w:tcPr>
          <w:p w:rsidR="00462F87" w:rsidRPr="00462F87" w:rsidRDefault="00462F87">
            <w:pPr>
              <w:rPr>
                <w:b/>
                <w:bCs/>
              </w:rPr>
            </w:pPr>
          </w:p>
        </w:tc>
        <w:tc>
          <w:tcPr>
            <w:tcW w:w="865" w:type="dxa"/>
            <w:vMerge w:val="restart"/>
            <w:noWrap/>
            <w:hideMark/>
          </w:tcPr>
          <w:p w:rsidR="00462F87" w:rsidRPr="00462F87" w:rsidRDefault="00462F87"/>
        </w:tc>
        <w:tc>
          <w:tcPr>
            <w:tcW w:w="1296" w:type="dxa"/>
            <w:noWrap/>
            <w:hideMark/>
          </w:tcPr>
          <w:p w:rsidR="00462F87" w:rsidRPr="00462F87" w:rsidRDefault="00462F87" w:rsidP="00462F87"/>
        </w:tc>
      </w:tr>
      <w:tr w:rsidR="00462F87" w:rsidRPr="00462F87" w:rsidTr="00462F87">
        <w:trPr>
          <w:trHeight w:val="300"/>
        </w:trPr>
        <w:tc>
          <w:tcPr>
            <w:tcW w:w="6918" w:type="dxa"/>
            <w:noWrap/>
            <w:hideMark/>
          </w:tcPr>
          <w:p w:rsidR="00462F87" w:rsidRPr="00462F87" w:rsidRDefault="00462F87">
            <w:r w:rsidRPr="00462F87">
              <w:t xml:space="preserve">1.2.1. Ámbito de aplicación.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lastRenderedPageBreak/>
              <w:t xml:space="preserve">1.2.2. Definiciones.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1.2.3. Sujetos obligados.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165"/>
        </w:trPr>
        <w:tc>
          <w:tcPr>
            <w:tcW w:w="6918" w:type="dxa"/>
            <w:noWrap/>
            <w:hideMark/>
          </w:tcPr>
          <w:p w:rsidR="00462F87" w:rsidRPr="00462F87" w:rsidRDefault="00462F87">
            <w:r w:rsidRPr="00462F87">
              <w:t> </w:t>
            </w:r>
          </w:p>
        </w:tc>
        <w:tc>
          <w:tcPr>
            <w:tcW w:w="6309" w:type="dxa"/>
            <w:noWrap/>
            <w:hideMark/>
          </w:tcPr>
          <w:p w:rsidR="00462F87" w:rsidRPr="00462F87" w:rsidRDefault="00462F87">
            <w:r w:rsidRPr="00462F87">
              <w:t> </w:t>
            </w:r>
          </w:p>
        </w:tc>
        <w:tc>
          <w:tcPr>
            <w:tcW w:w="865" w:type="dxa"/>
            <w:noWrap/>
            <w:hideMark/>
          </w:tcPr>
          <w:p w:rsidR="00462F87" w:rsidRPr="00462F87" w:rsidRDefault="00462F87">
            <w:r w:rsidRPr="00462F87">
              <w:t> </w:t>
            </w:r>
          </w:p>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pPr>
              <w:rPr>
                <w:b/>
                <w:bCs/>
              </w:rPr>
            </w:pPr>
            <w:r w:rsidRPr="00462F87">
              <w:rPr>
                <w:b/>
                <w:bCs/>
              </w:rPr>
              <w:t xml:space="preserve">1.3. El Reglamento Europeo de Protección de datos y actualización de LOPD. Principios </w:t>
            </w:r>
          </w:p>
        </w:tc>
        <w:tc>
          <w:tcPr>
            <w:tcW w:w="6309" w:type="dxa"/>
            <w:noWrap/>
            <w:hideMark/>
          </w:tcPr>
          <w:p w:rsidR="00462F87" w:rsidRPr="00462F87" w:rsidRDefault="00462F87">
            <w:pPr>
              <w:rPr>
                <w:b/>
                <w:bCs/>
              </w:rPr>
            </w:pPr>
          </w:p>
        </w:tc>
        <w:tc>
          <w:tcPr>
            <w:tcW w:w="865" w:type="dxa"/>
            <w:vMerge w:val="restart"/>
            <w:noWrap/>
            <w:hideMark/>
          </w:tcPr>
          <w:p w:rsidR="00462F87" w:rsidRPr="00462F87" w:rsidRDefault="00462F87"/>
        </w:tc>
        <w:tc>
          <w:tcPr>
            <w:tcW w:w="1296" w:type="dxa"/>
            <w:noWrap/>
            <w:hideMark/>
          </w:tcPr>
          <w:p w:rsidR="00462F87" w:rsidRPr="00462F87" w:rsidRDefault="00462F87" w:rsidP="00462F87"/>
        </w:tc>
      </w:tr>
      <w:tr w:rsidR="00462F87" w:rsidRPr="00462F87" w:rsidTr="00462F87">
        <w:trPr>
          <w:trHeight w:val="300"/>
        </w:trPr>
        <w:tc>
          <w:tcPr>
            <w:tcW w:w="6918" w:type="dxa"/>
            <w:noWrap/>
            <w:hideMark/>
          </w:tcPr>
          <w:p w:rsidR="00462F87" w:rsidRPr="00462F87" w:rsidRDefault="00462F87">
            <w:r w:rsidRPr="00462F87">
              <w:t xml:space="preserve">1.3.1. El binomio derecho/deber en la protección de datos.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1.3.2. Licitud del tratamiento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1.3.3. Lealtad y transparencia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1.3.4. Limitación de la finalidad 1.3.5. Minimización de datos 1.3.6. Exactitud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1.3.5. Minimización de datos 1.3.6. Exactitud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135"/>
        </w:trPr>
        <w:tc>
          <w:tcPr>
            <w:tcW w:w="6918" w:type="dxa"/>
            <w:noWrap/>
            <w:hideMark/>
          </w:tcPr>
          <w:p w:rsidR="00462F87" w:rsidRPr="00462F87" w:rsidRDefault="00462F87">
            <w:r w:rsidRPr="00462F87">
              <w:t> </w:t>
            </w:r>
          </w:p>
        </w:tc>
        <w:tc>
          <w:tcPr>
            <w:tcW w:w="6309" w:type="dxa"/>
            <w:noWrap/>
            <w:hideMark/>
          </w:tcPr>
          <w:p w:rsidR="001D6891" w:rsidRDefault="00462F87">
            <w:r w:rsidRPr="00462F87">
              <w:t> </w:t>
            </w:r>
          </w:p>
          <w:p w:rsidR="00462F87" w:rsidRPr="001D6891" w:rsidRDefault="001D6891" w:rsidP="001D6891">
            <w:pPr>
              <w:tabs>
                <w:tab w:val="left" w:pos="990"/>
              </w:tabs>
            </w:pPr>
            <w:r>
              <w:tab/>
            </w:r>
          </w:p>
        </w:tc>
        <w:tc>
          <w:tcPr>
            <w:tcW w:w="865" w:type="dxa"/>
            <w:noWrap/>
            <w:hideMark/>
          </w:tcPr>
          <w:p w:rsidR="00462F87" w:rsidRPr="00462F87" w:rsidRDefault="00462F87">
            <w:r w:rsidRPr="00462F87">
              <w:t> </w:t>
            </w:r>
          </w:p>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pPr>
              <w:rPr>
                <w:b/>
                <w:bCs/>
              </w:rPr>
            </w:pPr>
            <w:r w:rsidRPr="00462F87">
              <w:rPr>
                <w:b/>
                <w:bCs/>
              </w:rPr>
              <w:t xml:space="preserve">1.4. El Reglamento Europeo de Protección de datos y actualización de LOPD. Legitimación </w:t>
            </w:r>
          </w:p>
        </w:tc>
        <w:tc>
          <w:tcPr>
            <w:tcW w:w="6309" w:type="dxa"/>
            <w:noWrap/>
            <w:hideMark/>
          </w:tcPr>
          <w:p w:rsidR="00462F87" w:rsidRPr="00462F87" w:rsidRDefault="00462F87">
            <w:pPr>
              <w:rPr>
                <w:b/>
                <w:bCs/>
              </w:rPr>
            </w:pPr>
          </w:p>
        </w:tc>
        <w:tc>
          <w:tcPr>
            <w:tcW w:w="865" w:type="dxa"/>
            <w:vMerge w:val="restart"/>
            <w:noWrap/>
            <w:hideMark/>
          </w:tcPr>
          <w:p w:rsidR="00462F87" w:rsidRPr="00462F87" w:rsidRDefault="00462F87"/>
        </w:tc>
        <w:tc>
          <w:tcPr>
            <w:tcW w:w="1296" w:type="dxa"/>
            <w:noWrap/>
            <w:hideMark/>
          </w:tcPr>
          <w:p w:rsidR="00462F87" w:rsidRPr="00462F87" w:rsidRDefault="00462F87" w:rsidP="00462F87"/>
        </w:tc>
      </w:tr>
      <w:tr w:rsidR="00462F87" w:rsidRPr="00462F87" w:rsidTr="00462F87">
        <w:trPr>
          <w:trHeight w:val="300"/>
        </w:trPr>
        <w:tc>
          <w:tcPr>
            <w:tcW w:w="6918" w:type="dxa"/>
            <w:noWrap/>
            <w:hideMark/>
          </w:tcPr>
          <w:p w:rsidR="00462F87" w:rsidRPr="00462F87" w:rsidRDefault="00462F87">
            <w:r w:rsidRPr="00462F87">
              <w:t xml:space="preserve">1.4.1. El consentimiento: otorgamiento y revocación.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 1.4.2. El consentimiento informado: finalidad, transparencia, conservación, información y deber de comunicación al interesado.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1.4.3. Consentimiento de los niños.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1.4.4. Categorías especiales de datos.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1.4.5. Datos relativos a infracciones y condenas penales.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lastRenderedPageBreak/>
              <w:t xml:space="preserve">1.4.6. Tratamiento que no requiere identificación.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1.4.7. Bases jurídicas distintas del consentimiento.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135"/>
        </w:trPr>
        <w:tc>
          <w:tcPr>
            <w:tcW w:w="6918" w:type="dxa"/>
            <w:noWrap/>
            <w:hideMark/>
          </w:tcPr>
          <w:p w:rsidR="00462F87" w:rsidRPr="00462F87" w:rsidRDefault="00462F87">
            <w:r w:rsidRPr="00462F87">
              <w:t xml:space="preserve"> </w:t>
            </w:r>
          </w:p>
        </w:tc>
        <w:tc>
          <w:tcPr>
            <w:tcW w:w="6309" w:type="dxa"/>
            <w:noWrap/>
            <w:hideMark/>
          </w:tcPr>
          <w:p w:rsidR="00462F87" w:rsidRPr="00462F87" w:rsidRDefault="00462F87">
            <w:r w:rsidRPr="00462F87">
              <w:t> </w:t>
            </w:r>
          </w:p>
        </w:tc>
        <w:tc>
          <w:tcPr>
            <w:tcW w:w="865" w:type="dxa"/>
            <w:noWrap/>
            <w:hideMark/>
          </w:tcPr>
          <w:p w:rsidR="00462F87" w:rsidRPr="00462F87" w:rsidRDefault="00462F87">
            <w:r w:rsidRPr="00462F87">
              <w:t> </w:t>
            </w:r>
          </w:p>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pPr>
              <w:rPr>
                <w:b/>
                <w:bCs/>
              </w:rPr>
            </w:pPr>
            <w:r w:rsidRPr="00462F87">
              <w:rPr>
                <w:b/>
                <w:bCs/>
              </w:rPr>
              <w:t xml:space="preserve">1.5. Derechos de los individuos.  </w:t>
            </w:r>
          </w:p>
        </w:tc>
        <w:tc>
          <w:tcPr>
            <w:tcW w:w="6309" w:type="dxa"/>
            <w:noWrap/>
            <w:hideMark/>
          </w:tcPr>
          <w:p w:rsidR="00462F87" w:rsidRPr="00462F87" w:rsidRDefault="00462F87">
            <w:pPr>
              <w:rPr>
                <w:b/>
                <w:bCs/>
              </w:rPr>
            </w:pPr>
          </w:p>
        </w:tc>
        <w:tc>
          <w:tcPr>
            <w:tcW w:w="865" w:type="dxa"/>
            <w:vMerge w:val="restart"/>
            <w:noWrap/>
            <w:hideMark/>
          </w:tcPr>
          <w:p w:rsidR="00462F87" w:rsidRPr="00462F87" w:rsidRDefault="00462F87"/>
        </w:tc>
        <w:tc>
          <w:tcPr>
            <w:tcW w:w="1296" w:type="dxa"/>
            <w:noWrap/>
            <w:hideMark/>
          </w:tcPr>
          <w:p w:rsidR="00462F87" w:rsidRPr="00462F87" w:rsidRDefault="00462F87" w:rsidP="00462F87"/>
        </w:tc>
      </w:tr>
      <w:tr w:rsidR="00462F87" w:rsidRPr="00462F87" w:rsidTr="00462F87">
        <w:trPr>
          <w:trHeight w:val="300"/>
        </w:trPr>
        <w:tc>
          <w:tcPr>
            <w:tcW w:w="6918" w:type="dxa"/>
            <w:noWrap/>
            <w:hideMark/>
          </w:tcPr>
          <w:p w:rsidR="00462F87" w:rsidRPr="00462F87" w:rsidRDefault="00462F87">
            <w:r w:rsidRPr="00462F87">
              <w:t xml:space="preserve">1.5.1. Transparencia e información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1.5.2. Acceso, rectificación, supresión (olvido).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1.5.3. Oposición</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 1.5.4. Decisiones individuales automatizadas.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1.5.5. Portabilidad.</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 1.5.6. Limitación del tratamiento.</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 1.5.7. Excepciones a los derechos.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120"/>
        </w:trPr>
        <w:tc>
          <w:tcPr>
            <w:tcW w:w="6918" w:type="dxa"/>
            <w:noWrap/>
            <w:hideMark/>
          </w:tcPr>
          <w:p w:rsidR="00462F87" w:rsidRPr="00462F87" w:rsidRDefault="00462F87">
            <w:r w:rsidRPr="00462F87">
              <w:t> </w:t>
            </w:r>
          </w:p>
        </w:tc>
        <w:tc>
          <w:tcPr>
            <w:tcW w:w="6309" w:type="dxa"/>
            <w:noWrap/>
            <w:hideMark/>
          </w:tcPr>
          <w:p w:rsidR="00462F87" w:rsidRPr="00462F87" w:rsidRDefault="00462F87">
            <w:r w:rsidRPr="00462F87">
              <w:t> </w:t>
            </w:r>
          </w:p>
        </w:tc>
        <w:tc>
          <w:tcPr>
            <w:tcW w:w="865" w:type="dxa"/>
            <w:noWrap/>
            <w:hideMark/>
          </w:tcPr>
          <w:p w:rsidR="00462F87" w:rsidRPr="00462F87" w:rsidRDefault="00462F87">
            <w:r w:rsidRPr="00462F87">
              <w:t> </w:t>
            </w:r>
          </w:p>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pPr>
              <w:rPr>
                <w:b/>
                <w:bCs/>
              </w:rPr>
            </w:pPr>
            <w:r w:rsidRPr="00462F87">
              <w:rPr>
                <w:b/>
                <w:bCs/>
              </w:rPr>
              <w:t xml:space="preserve">1.6. El Reglamento Europeo de Protección de datos y actualización de LOPD. Medidas de cumplimiento. </w:t>
            </w:r>
          </w:p>
        </w:tc>
        <w:tc>
          <w:tcPr>
            <w:tcW w:w="6309" w:type="dxa"/>
            <w:noWrap/>
            <w:hideMark/>
          </w:tcPr>
          <w:p w:rsidR="00462F87" w:rsidRPr="00462F87" w:rsidRDefault="00462F87">
            <w:pPr>
              <w:rPr>
                <w:b/>
                <w:bCs/>
              </w:rPr>
            </w:pPr>
          </w:p>
        </w:tc>
        <w:tc>
          <w:tcPr>
            <w:tcW w:w="865" w:type="dxa"/>
            <w:vMerge w:val="restart"/>
            <w:noWrap/>
            <w:hideMark/>
          </w:tcPr>
          <w:p w:rsidR="00462F87" w:rsidRPr="00462F87" w:rsidRDefault="00462F87"/>
        </w:tc>
        <w:tc>
          <w:tcPr>
            <w:tcW w:w="1296" w:type="dxa"/>
            <w:noWrap/>
            <w:hideMark/>
          </w:tcPr>
          <w:p w:rsidR="00462F87" w:rsidRPr="00462F87" w:rsidRDefault="00462F87" w:rsidP="00462F87"/>
        </w:tc>
      </w:tr>
      <w:tr w:rsidR="00462F87" w:rsidRPr="00462F87" w:rsidTr="00462F87">
        <w:trPr>
          <w:trHeight w:val="300"/>
        </w:trPr>
        <w:tc>
          <w:tcPr>
            <w:tcW w:w="6918" w:type="dxa"/>
            <w:noWrap/>
            <w:hideMark/>
          </w:tcPr>
          <w:p w:rsidR="00462F87" w:rsidRPr="00462F87" w:rsidRDefault="00462F87">
            <w:r w:rsidRPr="00462F87">
              <w:t xml:space="preserve">1.6.1. Las políticas de protección de datos.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60"/>
        </w:trPr>
        <w:tc>
          <w:tcPr>
            <w:tcW w:w="6918" w:type="dxa"/>
            <w:noWrap/>
            <w:hideMark/>
          </w:tcPr>
          <w:p w:rsidR="00462F87" w:rsidRPr="00462F87" w:rsidRDefault="00462F87">
            <w:r w:rsidRPr="00462F87">
              <w:t xml:space="preserve">1.6.2. Posición jurídica de los intervinientes. Responsables, </w:t>
            </w:r>
            <w:proofErr w:type="spellStart"/>
            <w:r w:rsidRPr="00462F87">
              <w:t>co</w:t>
            </w:r>
            <w:proofErr w:type="spellEnd"/>
            <w:r w:rsidRPr="00462F87">
              <w:t xml:space="preserve">-responsables, encargados, </w:t>
            </w:r>
            <w:proofErr w:type="spellStart"/>
            <w:r w:rsidRPr="00462F87">
              <w:t>subencargado</w:t>
            </w:r>
            <w:proofErr w:type="spellEnd"/>
            <w:r w:rsidRPr="00462F87">
              <w:t xml:space="preserve"> del tratamiento y sus representantes. Relaciones entre ellos y formalización.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1.6.3. El registro de actividades de tratamiento: identificación y clasificación del tratamiento de datos.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120"/>
        </w:trPr>
        <w:tc>
          <w:tcPr>
            <w:tcW w:w="6918" w:type="dxa"/>
            <w:noWrap/>
            <w:hideMark/>
          </w:tcPr>
          <w:p w:rsidR="00462F87" w:rsidRPr="00462F87" w:rsidRDefault="00462F87">
            <w:r w:rsidRPr="00462F87">
              <w:t xml:space="preserve"> </w:t>
            </w:r>
          </w:p>
        </w:tc>
        <w:tc>
          <w:tcPr>
            <w:tcW w:w="6309" w:type="dxa"/>
            <w:noWrap/>
            <w:hideMark/>
          </w:tcPr>
          <w:p w:rsidR="00462F87" w:rsidRPr="00462F87" w:rsidRDefault="00462F87">
            <w:r w:rsidRPr="00462F87">
              <w:t> </w:t>
            </w:r>
          </w:p>
        </w:tc>
        <w:tc>
          <w:tcPr>
            <w:tcW w:w="865" w:type="dxa"/>
            <w:noWrap/>
            <w:hideMark/>
          </w:tcPr>
          <w:p w:rsidR="00462F87" w:rsidRPr="00462F87" w:rsidRDefault="00462F87">
            <w:r w:rsidRPr="00462F87">
              <w:t> </w:t>
            </w:r>
          </w:p>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pPr>
              <w:rPr>
                <w:b/>
                <w:bCs/>
              </w:rPr>
            </w:pPr>
            <w:r w:rsidRPr="00462F87">
              <w:rPr>
                <w:b/>
                <w:bCs/>
              </w:rPr>
              <w:lastRenderedPageBreak/>
              <w:t xml:space="preserve">1.7. El Reglamento Europeo de Protección de datos y actualización de LOPD. Responsabilidad proactiva. </w:t>
            </w:r>
          </w:p>
        </w:tc>
        <w:tc>
          <w:tcPr>
            <w:tcW w:w="6309" w:type="dxa"/>
            <w:noWrap/>
            <w:hideMark/>
          </w:tcPr>
          <w:p w:rsidR="00462F87" w:rsidRPr="00462F87" w:rsidRDefault="00462F87">
            <w:pPr>
              <w:rPr>
                <w:b/>
                <w:bCs/>
              </w:rPr>
            </w:pPr>
          </w:p>
        </w:tc>
        <w:tc>
          <w:tcPr>
            <w:tcW w:w="865" w:type="dxa"/>
            <w:vMerge w:val="restart"/>
            <w:noWrap/>
            <w:hideMark/>
          </w:tcPr>
          <w:p w:rsidR="00462F87" w:rsidRPr="00462F87" w:rsidRDefault="00462F87"/>
        </w:tc>
        <w:tc>
          <w:tcPr>
            <w:tcW w:w="1296" w:type="dxa"/>
            <w:noWrap/>
            <w:hideMark/>
          </w:tcPr>
          <w:p w:rsidR="00462F87" w:rsidRPr="00462F87" w:rsidRDefault="00462F87" w:rsidP="00462F87"/>
        </w:tc>
      </w:tr>
      <w:tr w:rsidR="00462F87" w:rsidRPr="00462F87" w:rsidTr="00462F87">
        <w:trPr>
          <w:trHeight w:val="300"/>
        </w:trPr>
        <w:tc>
          <w:tcPr>
            <w:tcW w:w="6918" w:type="dxa"/>
            <w:noWrap/>
            <w:hideMark/>
          </w:tcPr>
          <w:p w:rsidR="00462F87" w:rsidRPr="00462F87" w:rsidRDefault="00462F87">
            <w:r w:rsidRPr="00462F87">
              <w:t xml:space="preserve">1.7.1. Privacidad desde el diseño y por defecto. Principios fundamentales.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1.7.2. Evaluación de impacto relativa a la protección de datos y consulta previa. Los tratamientos de alto riesgo.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1.7.3. Seguridad de los datos personales. Seguridad técnica y organizativa.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1.7.4. Las violaciones de la seguridad. Notificación de violaciones de seguridad.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1.7.5. El Delegado de Protección de Datos (DPD). Marco normativo.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1.7.6. Códigos de conducta y certificaciones</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135"/>
        </w:trPr>
        <w:tc>
          <w:tcPr>
            <w:tcW w:w="6918" w:type="dxa"/>
            <w:noWrap/>
            <w:hideMark/>
          </w:tcPr>
          <w:p w:rsidR="00462F87" w:rsidRPr="00462F87" w:rsidRDefault="00462F87">
            <w:r w:rsidRPr="00462F87">
              <w:t xml:space="preserve"> </w:t>
            </w:r>
          </w:p>
        </w:tc>
        <w:tc>
          <w:tcPr>
            <w:tcW w:w="6309" w:type="dxa"/>
            <w:noWrap/>
            <w:hideMark/>
          </w:tcPr>
          <w:p w:rsidR="00462F87" w:rsidRPr="00462F87" w:rsidRDefault="00462F87">
            <w:r w:rsidRPr="00462F87">
              <w:t> </w:t>
            </w:r>
          </w:p>
        </w:tc>
        <w:tc>
          <w:tcPr>
            <w:tcW w:w="865" w:type="dxa"/>
            <w:noWrap/>
            <w:hideMark/>
          </w:tcPr>
          <w:p w:rsidR="00462F87" w:rsidRPr="00462F87" w:rsidRDefault="00462F87">
            <w:r w:rsidRPr="00462F87">
              <w:t> </w:t>
            </w:r>
          </w:p>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pPr>
              <w:rPr>
                <w:b/>
                <w:bCs/>
              </w:rPr>
            </w:pPr>
            <w:r w:rsidRPr="00462F87">
              <w:rPr>
                <w:b/>
                <w:bCs/>
              </w:rPr>
              <w:t xml:space="preserve">1.8. El Reglamento Europeo de Protección de datos. Delegados de Protección de Datos (DPD, DPO o Data </w:t>
            </w:r>
            <w:proofErr w:type="spellStart"/>
            <w:r w:rsidRPr="00462F87">
              <w:rPr>
                <w:b/>
                <w:bCs/>
              </w:rPr>
              <w:t>Privacy</w:t>
            </w:r>
            <w:proofErr w:type="spellEnd"/>
            <w:r w:rsidRPr="00462F87">
              <w:rPr>
                <w:b/>
                <w:bCs/>
              </w:rPr>
              <w:t xml:space="preserve"> Officer). </w:t>
            </w:r>
          </w:p>
        </w:tc>
        <w:tc>
          <w:tcPr>
            <w:tcW w:w="6309" w:type="dxa"/>
            <w:noWrap/>
            <w:hideMark/>
          </w:tcPr>
          <w:p w:rsidR="00462F87" w:rsidRPr="00462F87" w:rsidRDefault="00462F87">
            <w:pPr>
              <w:rPr>
                <w:b/>
                <w:bCs/>
              </w:rPr>
            </w:pPr>
          </w:p>
        </w:tc>
        <w:tc>
          <w:tcPr>
            <w:tcW w:w="865" w:type="dxa"/>
            <w:vMerge w:val="restart"/>
            <w:noWrap/>
            <w:hideMark/>
          </w:tcPr>
          <w:p w:rsidR="00462F87" w:rsidRPr="00462F87" w:rsidRDefault="00462F87"/>
        </w:tc>
        <w:tc>
          <w:tcPr>
            <w:tcW w:w="1296" w:type="dxa"/>
            <w:noWrap/>
            <w:hideMark/>
          </w:tcPr>
          <w:p w:rsidR="00462F87" w:rsidRPr="00462F87" w:rsidRDefault="00462F87" w:rsidP="00462F87"/>
        </w:tc>
      </w:tr>
      <w:tr w:rsidR="00462F87" w:rsidRPr="00462F87" w:rsidTr="00462F87">
        <w:trPr>
          <w:trHeight w:val="300"/>
        </w:trPr>
        <w:tc>
          <w:tcPr>
            <w:tcW w:w="6918" w:type="dxa"/>
            <w:noWrap/>
            <w:hideMark/>
          </w:tcPr>
          <w:p w:rsidR="00462F87" w:rsidRPr="00462F87" w:rsidRDefault="00462F87">
            <w:r w:rsidRPr="00462F87">
              <w:t xml:space="preserve">1.8.1. Designación. Proceso de toma de decisión. Formalidades en el nombramiento, renovación y cese. Análisis de conflicto de intereses.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1.8.2. Obligaciones y responsabilidades. Independencia. Identificación y reporte a dirección.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1.8.3. Procedimientos. Colaboración, autorizaciones previas, relación con los interesados y gestión de reclamaciones.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1.8.4. Comunicación con la autoridad de protección de datos.</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lastRenderedPageBreak/>
              <w:t xml:space="preserve"> 1.8.5. Competencia profesional. Negociación. Comunicación. Presupuestos.</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 1.8.6. Formación.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1.8.7. Habilidades personales, trabajo en equipo, liderazgo, gestión de equipos.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120"/>
        </w:trPr>
        <w:tc>
          <w:tcPr>
            <w:tcW w:w="6918" w:type="dxa"/>
            <w:noWrap/>
            <w:hideMark/>
          </w:tcPr>
          <w:p w:rsidR="00462F87" w:rsidRPr="00462F87" w:rsidRDefault="00462F87">
            <w:r w:rsidRPr="00462F87">
              <w:t xml:space="preserve"> </w:t>
            </w:r>
          </w:p>
        </w:tc>
        <w:tc>
          <w:tcPr>
            <w:tcW w:w="6309" w:type="dxa"/>
            <w:noWrap/>
            <w:hideMark/>
          </w:tcPr>
          <w:p w:rsidR="00462F87" w:rsidRPr="00462F87" w:rsidRDefault="00462F87">
            <w:r w:rsidRPr="00462F87">
              <w:t> </w:t>
            </w:r>
          </w:p>
        </w:tc>
        <w:tc>
          <w:tcPr>
            <w:tcW w:w="865" w:type="dxa"/>
            <w:noWrap/>
            <w:hideMark/>
          </w:tcPr>
          <w:p w:rsidR="00462F87" w:rsidRPr="00462F87" w:rsidRDefault="00462F87">
            <w:r w:rsidRPr="00462F87">
              <w:t> </w:t>
            </w:r>
          </w:p>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pPr>
              <w:rPr>
                <w:b/>
                <w:bCs/>
              </w:rPr>
            </w:pPr>
            <w:r w:rsidRPr="00462F87">
              <w:rPr>
                <w:b/>
                <w:bCs/>
              </w:rPr>
              <w:t xml:space="preserve">1.9. El Reglamento Europeo de Protección de datos y actualización de LOPD. Transferencias internacionales de datos  </w:t>
            </w:r>
          </w:p>
        </w:tc>
        <w:tc>
          <w:tcPr>
            <w:tcW w:w="6309" w:type="dxa"/>
            <w:noWrap/>
            <w:hideMark/>
          </w:tcPr>
          <w:p w:rsidR="00462F87" w:rsidRPr="00462F87" w:rsidRDefault="00462F87">
            <w:pPr>
              <w:rPr>
                <w:b/>
                <w:bCs/>
              </w:rPr>
            </w:pPr>
          </w:p>
        </w:tc>
        <w:tc>
          <w:tcPr>
            <w:tcW w:w="865" w:type="dxa"/>
            <w:vMerge w:val="restart"/>
            <w:noWrap/>
            <w:hideMark/>
          </w:tcPr>
          <w:p w:rsidR="00462F87" w:rsidRPr="00462F87" w:rsidRDefault="00462F87"/>
        </w:tc>
        <w:tc>
          <w:tcPr>
            <w:tcW w:w="1296" w:type="dxa"/>
            <w:noWrap/>
            <w:hideMark/>
          </w:tcPr>
          <w:p w:rsidR="00462F87" w:rsidRPr="00462F87" w:rsidRDefault="00462F87" w:rsidP="00462F87"/>
        </w:tc>
      </w:tr>
      <w:tr w:rsidR="00462F87" w:rsidRPr="00462F87" w:rsidTr="00462F87">
        <w:trPr>
          <w:trHeight w:val="300"/>
        </w:trPr>
        <w:tc>
          <w:tcPr>
            <w:tcW w:w="6918" w:type="dxa"/>
            <w:noWrap/>
            <w:hideMark/>
          </w:tcPr>
          <w:p w:rsidR="00462F87" w:rsidRPr="00462F87" w:rsidRDefault="00462F87">
            <w:r w:rsidRPr="00462F87">
              <w:t xml:space="preserve">1.9.1. El sistema de decisiones de adecuación.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 1.9.2. Transferencias mediante garantías adecuadas.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 1.9.3. Normas Corporativas Vinculantes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1.9.4. Excepciones.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1.9.5. Autorización de la autoridad de control.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1.9.6. Suspensión temporal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1.9.7. Cláusulas contractuales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180"/>
        </w:trPr>
        <w:tc>
          <w:tcPr>
            <w:tcW w:w="6918" w:type="dxa"/>
            <w:noWrap/>
            <w:hideMark/>
          </w:tcPr>
          <w:p w:rsidR="00462F87" w:rsidRPr="00462F87" w:rsidRDefault="00462F87">
            <w:r w:rsidRPr="00462F87">
              <w:t> </w:t>
            </w:r>
          </w:p>
        </w:tc>
        <w:tc>
          <w:tcPr>
            <w:tcW w:w="6309" w:type="dxa"/>
            <w:noWrap/>
            <w:hideMark/>
          </w:tcPr>
          <w:p w:rsidR="00462F87" w:rsidRPr="00462F87" w:rsidRDefault="00462F87">
            <w:r w:rsidRPr="00462F87">
              <w:t> </w:t>
            </w:r>
          </w:p>
        </w:tc>
        <w:tc>
          <w:tcPr>
            <w:tcW w:w="865" w:type="dxa"/>
            <w:noWrap/>
            <w:hideMark/>
          </w:tcPr>
          <w:p w:rsidR="00462F87" w:rsidRPr="00462F87" w:rsidRDefault="00462F87">
            <w:r w:rsidRPr="00462F87">
              <w:t> </w:t>
            </w:r>
          </w:p>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pPr>
              <w:rPr>
                <w:b/>
                <w:bCs/>
              </w:rPr>
            </w:pPr>
            <w:r w:rsidRPr="00462F87">
              <w:rPr>
                <w:b/>
                <w:bCs/>
              </w:rPr>
              <w:t xml:space="preserve">1.10. El Reglamento Europeo de Protección de datos y actualización de LOPD. Las Autoridades de Control. </w:t>
            </w:r>
          </w:p>
        </w:tc>
        <w:tc>
          <w:tcPr>
            <w:tcW w:w="6309" w:type="dxa"/>
            <w:noWrap/>
            <w:hideMark/>
          </w:tcPr>
          <w:p w:rsidR="00462F87" w:rsidRPr="00462F87" w:rsidRDefault="00462F87">
            <w:pPr>
              <w:rPr>
                <w:b/>
                <w:bCs/>
              </w:rPr>
            </w:pPr>
          </w:p>
        </w:tc>
        <w:tc>
          <w:tcPr>
            <w:tcW w:w="865" w:type="dxa"/>
            <w:vMerge w:val="restart"/>
            <w:noWrap/>
            <w:hideMark/>
          </w:tcPr>
          <w:p w:rsidR="00462F87" w:rsidRPr="00462F87" w:rsidRDefault="00462F87"/>
        </w:tc>
        <w:tc>
          <w:tcPr>
            <w:tcW w:w="1296" w:type="dxa"/>
            <w:noWrap/>
            <w:hideMark/>
          </w:tcPr>
          <w:p w:rsidR="00462F87" w:rsidRPr="00462F87" w:rsidRDefault="00462F87" w:rsidP="00462F87"/>
        </w:tc>
      </w:tr>
      <w:tr w:rsidR="00462F87" w:rsidRPr="00462F87" w:rsidTr="00462F87">
        <w:trPr>
          <w:trHeight w:val="300"/>
        </w:trPr>
        <w:tc>
          <w:tcPr>
            <w:tcW w:w="6918" w:type="dxa"/>
            <w:noWrap/>
            <w:hideMark/>
          </w:tcPr>
          <w:p w:rsidR="00462F87" w:rsidRPr="00462F87" w:rsidRDefault="00462F87">
            <w:r w:rsidRPr="00462F87">
              <w:t xml:space="preserve">1.10.1. Autoridades de Control.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1.10.2. Potestades.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1.10.3. Régimen sancionador.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lastRenderedPageBreak/>
              <w:t xml:space="preserve">1.10.4. Comité Europeo de Protección de Datos.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1.10.5. Procedimientos seguidos por la AEPD.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1.10.6. La tutela jurisdiccional.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1.10.7. El derecho de indemnización.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165"/>
        </w:trPr>
        <w:tc>
          <w:tcPr>
            <w:tcW w:w="6918" w:type="dxa"/>
            <w:noWrap/>
            <w:hideMark/>
          </w:tcPr>
          <w:p w:rsidR="00462F87" w:rsidRPr="00462F87" w:rsidRDefault="00462F87">
            <w:r w:rsidRPr="00462F87">
              <w:t> </w:t>
            </w:r>
          </w:p>
        </w:tc>
        <w:tc>
          <w:tcPr>
            <w:tcW w:w="6309" w:type="dxa"/>
            <w:noWrap/>
            <w:hideMark/>
          </w:tcPr>
          <w:p w:rsidR="00462F87" w:rsidRPr="00462F87" w:rsidRDefault="00462F87">
            <w:r w:rsidRPr="00462F87">
              <w:t> </w:t>
            </w:r>
          </w:p>
        </w:tc>
        <w:tc>
          <w:tcPr>
            <w:tcW w:w="865" w:type="dxa"/>
            <w:noWrap/>
            <w:hideMark/>
          </w:tcPr>
          <w:p w:rsidR="00462F87" w:rsidRPr="00462F87" w:rsidRDefault="00462F87">
            <w:r w:rsidRPr="00462F87">
              <w:t> </w:t>
            </w:r>
          </w:p>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pPr>
              <w:rPr>
                <w:b/>
                <w:bCs/>
              </w:rPr>
            </w:pPr>
            <w:r w:rsidRPr="00462F87">
              <w:rPr>
                <w:b/>
                <w:bCs/>
              </w:rPr>
              <w:t xml:space="preserve">1.11. Directrices de interpretación del RGPD.  </w:t>
            </w:r>
          </w:p>
        </w:tc>
        <w:tc>
          <w:tcPr>
            <w:tcW w:w="6309" w:type="dxa"/>
            <w:noWrap/>
            <w:hideMark/>
          </w:tcPr>
          <w:p w:rsidR="00462F87" w:rsidRPr="00462F87" w:rsidRDefault="00462F87">
            <w:pPr>
              <w:rPr>
                <w:b/>
                <w:bCs/>
              </w:rPr>
            </w:pPr>
          </w:p>
        </w:tc>
        <w:tc>
          <w:tcPr>
            <w:tcW w:w="865" w:type="dxa"/>
            <w:vMerge w:val="restart"/>
            <w:noWrap/>
            <w:hideMark/>
          </w:tcPr>
          <w:p w:rsidR="00462F87" w:rsidRPr="00462F87" w:rsidRDefault="00462F87"/>
        </w:tc>
        <w:tc>
          <w:tcPr>
            <w:tcW w:w="1296" w:type="dxa"/>
            <w:noWrap/>
            <w:hideMark/>
          </w:tcPr>
          <w:p w:rsidR="00462F87" w:rsidRPr="00462F87" w:rsidRDefault="00462F87" w:rsidP="00462F87"/>
        </w:tc>
      </w:tr>
      <w:tr w:rsidR="00462F87" w:rsidRPr="00462F87" w:rsidTr="00462F87">
        <w:trPr>
          <w:trHeight w:val="300"/>
        </w:trPr>
        <w:tc>
          <w:tcPr>
            <w:tcW w:w="6918" w:type="dxa"/>
            <w:noWrap/>
            <w:hideMark/>
          </w:tcPr>
          <w:p w:rsidR="00462F87" w:rsidRPr="00462F87" w:rsidRDefault="00462F87">
            <w:r w:rsidRPr="00462F87">
              <w:t xml:space="preserve">1.11.1. Guías del GT art. 29.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1.11.2. Opiniones del Comité Europeo de Protección de Datos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1.11.3. Criterios de órganos jurisdiccionales.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180"/>
        </w:trPr>
        <w:tc>
          <w:tcPr>
            <w:tcW w:w="6918" w:type="dxa"/>
            <w:noWrap/>
            <w:hideMark/>
          </w:tcPr>
          <w:p w:rsidR="00462F87" w:rsidRPr="00462F87" w:rsidRDefault="00462F87">
            <w:r w:rsidRPr="00462F87">
              <w:t> </w:t>
            </w:r>
          </w:p>
        </w:tc>
        <w:tc>
          <w:tcPr>
            <w:tcW w:w="6309" w:type="dxa"/>
            <w:noWrap/>
            <w:hideMark/>
          </w:tcPr>
          <w:p w:rsidR="00462F87" w:rsidRPr="00462F87" w:rsidRDefault="00462F87">
            <w:r w:rsidRPr="00462F87">
              <w:t> </w:t>
            </w:r>
          </w:p>
        </w:tc>
        <w:tc>
          <w:tcPr>
            <w:tcW w:w="865" w:type="dxa"/>
            <w:noWrap/>
            <w:hideMark/>
          </w:tcPr>
          <w:p w:rsidR="00462F87" w:rsidRPr="00462F87" w:rsidRDefault="00462F87">
            <w:r w:rsidRPr="00462F87">
              <w:t> </w:t>
            </w:r>
          </w:p>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pPr>
              <w:rPr>
                <w:b/>
                <w:bCs/>
              </w:rPr>
            </w:pPr>
            <w:r w:rsidRPr="00462F87">
              <w:rPr>
                <w:b/>
                <w:bCs/>
              </w:rPr>
              <w:t xml:space="preserve">1.12. Normativas sectoriales afectadas por la protección de datos. </w:t>
            </w:r>
          </w:p>
        </w:tc>
        <w:tc>
          <w:tcPr>
            <w:tcW w:w="6309" w:type="dxa"/>
            <w:noWrap/>
            <w:hideMark/>
          </w:tcPr>
          <w:p w:rsidR="00462F87" w:rsidRPr="00462F87" w:rsidRDefault="00462F87">
            <w:pPr>
              <w:rPr>
                <w:b/>
                <w:bCs/>
              </w:rPr>
            </w:pPr>
          </w:p>
        </w:tc>
        <w:tc>
          <w:tcPr>
            <w:tcW w:w="865" w:type="dxa"/>
            <w:vMerge w:val="restart"/>
            <w:noWrap/>
            <w:hideMark/>
          </w:tcPr>
          <w:p w:rsidR="00462F87" w:rsidRPr="00462F87" w:rsidRDefault="00462F87"/>
        </w:tc>
        <w:tc>
          <w:tcPr>
            <w:tcW w:w="1296" w:type="dxa"/>
            <w:noWrap/>
            <w:hideMark/>
          </w:tcPr>
          <w:p w:rsidR="00462F87" w:rsidRPr="00462F87" w:rsidRDefault="00462F87" w:rsidP="00462F87"/>
        </w:tc>
      </w:tr>
      <w:tr w:rsidR="00462F87" w:rsidRPr="00462F87" w:rsidTr="00462F87">
        <w:trPr>
          <w:trHeight w:val="300"/>
        </w:trPr>
        <w:tc>
          <w:tcPr>
            <w:tcW w:w="6918" w:type="dxa"/>
            <w:noWrap/>
            <w:hideMark/>
          </w:tcPr>
          <w:p w:rsidR="00462F87" w:rsidRPr="00462F87" w:rsidRDefault="00462F87">
            <w:r w:rsidRPr="00462F87">
              <w:t>1.12.1. Sanitaria, Farmacéutica, Investigación.</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 1.12.2. Protección de los menores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1.12.3. Solvencia Patrimonial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1.12.4. Telecomunicaciones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1.12.5. Videovigilancia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1.12.6. Seguros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1.12.7. Publicidad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180"/>
        </w:trPr>
        <w:tc>
          <w:tcPr>
            <w:tcW w:w="6918" w:type="dxa"/>
            <w:noWrap/>
            <w:hideMark/>
          </w:tcPr>
          <w:p w:rsidR="00462F87" w:rsidRPr="00462F87" w:rsidRDefault="00462F87">
            <w:r w:rsidRPr="00462F87">
              <w:t> </w:t>
            </w:r>
          </w:p>
        </w:tc>
        <w:tc>
          <w:tcPr>
            <w:tcW w:w="6309" w:type="dxa"/>
            <w:noWrap/>
            <w:hideMark/>
          </w:tcPr>
          <w:p w:rsidR="00462F87" w:rsidRPr="00462F87" w:rsidRDefault="00462F87">
            <w:r w:rsidRPr="00462F87">
              <w:t> </w:t>
            </w:r>
          </w:p>
        </w:tc>
        <w:tc>
          <w:tcPr>
            <w:tcW w:w="865" w:type="dxa"/>
            <w:noWrap/>
            <w:hideMark/>
          </w:tcPr>
          <w:p w:rsidR="00462F87" w:rsidRPr="00462F87" w:rsidRDefault="00462F87">
            <w:r w:rsidRPr="00462F87">
              <w:t> </w:t>
            </w:r>
          </w:p>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pPr>
              <w:rPr>
                <w:b/>
                <w:bCs/>
              </w:rPr>
            </w:pPr>
            <w:r w:rsidRPr="00462F87">
              <w:rPr>
                <w:b/>
                <w:bCs/>
              </w:rPr>
              <w:t xml:space="preserve">1.13. Normativa española con implicaciones en protección de datos. </w:t>
            </w:r>
          </w:p>
        </w:tc>
        <w:tc>
          <w:tcPr>
            <w:tcW w:w="6309" w:type="dxa"/>
            <w:noWrap/>
            <w:hideMark/>
          </w:tcPr>
          <w:p w:rsidR="00462F87" w:rsidRPr="00462F87" w:rsidRDefault="00462F87">
            <w:pPr>
              <w:rPr>
                <w:b/>
                <w:bCs/>
              </w:rPr>
            </w:pPr>
          </w:p>
        </w:tc>
        <w:tc>
          <w:tcPr>
            <w:tcW w:w="865" w:type="dxa"/>
            <w:vMerge w:val="restart"/>
            <w:noWrap/>
            <w:hideMark/>
          </w:tcPr>
          <w:p w:rsidR="00462F87" w:rsidRPr="00462F87" w:rsidRDefault="00462F87"/>
        </w:tc>
        <w:tc>
          <w:tcPr>
            <w:tcW w:w="1296" w:type="dxa"/>
            <w:noWrap/>
            <w:hideMark/>
          </w:tcPr>
          <w:p w:rsidR="00462F87" w:rsidRPr="00462F87" w:rsidRDefault="00462F87" w:rsidP="00462F87"/>
        </w:tc>
      </w:tr>
      <w:tr w:rsidR="00462F87" w:rsidRPr="00462F87" w:rsidTr="00462F87">
        <w:trPr>
          <w:trHeight w:val="300"/>
        </w:trPr>
        <w:tc>
          <w:tcPr>
            <w:tcW w:w="6918" w:type="dxa"/>
            <w:noWrap/>
            <w:hideMark/>
          </w:tcPr>
          <w:p w:rsidR="00462F87" w:rsidRPr="00462F87" w:rsidRDefault="00462F87">
            <w:r w:rsidRPr="00462F87">
              <w:lastRenderedPageBreak/>
              <w:t xml:space="preserve">1.13.1. LSSI, Ley 34/2002, de 11 de julio, de servicios de la sociedad de la información y de comercio electrónico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1.13.2. LGT, Ley 9/2014, de 9 de mayo, General de Telecomunicaciones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r w:rsidRPr="00462F87">
              <w:t xml:space="preserve">1.13.3. Ley firma-e, Ley 59/2003, de 19 de diciembre, de firma electrónica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165"/>
        </w:trPr>
        <w:tc>
          <w:tcPr>
            <w:tcW w:w="6918" w:type="dxa"/>
            <w:noWrap/>
            <w:hideMark/>
          </w:tcPr>
          <w:p w:rsidR="00462F87" w:rsidRPr="00462F87" w:rsidRDefault="00462F87">
            <w:r w:rsidRPr="00462F87">
              <w:t> </w:t>
            </w:r>
          </w:p>
        </w:tc>
        <w:tc>
          <w:tcPr>
            <w:tcW w:w="6309" w:type="dxa"/>
            <w:noWrap/>
            <w:hideMark/>
          </w:tcPr>
          <w:p w:rsidR="00462F87" w:rsidRPr="00462F87" w:rsidRDefault="00462F87">
            <w:r w:rsidRPr="00462F87">
              <w:t> </w:t>
            </w:r>
          </w:p>
        </w:tc>
        <w:tc>
          <w:tcPr>
            <w:tcW w:w="865" w:type="dxa"/>
            <w:noWrap/>
            <w:hideMark/>
          </w:tcPr>
          <w:p w:rsidR="00462F87" w:rsidRPr="00462F87" w:rsidRDefault="00462F87">
            <w:r w:rsidRPr="00462F87">
              <w:t> </w:t>
            </w:r>
          </w:p>
        </w:tc>
        <w:tc>
          <w:tcPr>
            <w:tcW w:w="1296" w:type="dxa"/>
            <w:noWrap/>
            <w:hideMark/>
          </w:tcPr>
          <w:p w:rsidR="00462F87" w:rsidRPr="00462F87" w:rsidRDefault="00462F87"/>
        </w:tc>
      </w:tr>
      <w:tr w:rsidR="00462F87" w:rsidRPr="00462F87" w:rsidTr="00462F87">
        <w:trPr>
          <w:trHeight w:val="300"/>
        </w:trPr>
        <w:tc>
          <w:tcPr>
            <w:tcW w:w="6918" w:type="dxa"/>
            <w:noWrap/>
            <w:hideMark/>
          </w:tcPr>
          <w:p w:rsidR="00462F87" w:rsidRPr="00462F87" w:rsidRDefault="00462F87">
            <w:pPr>
              <w:rPr>
                <w:b/>
                <w:bCs/>
              </w:rPr>
            </w:pPr>
            <w:r w:rsidRPr="00462F87">
              <w:rPr>
                <w:b/>
                <w:bCs/>
              </w:rPr>
              <w:t xml:space="preserve">1.14. Normativa europea con implicaciones en protección de datos. </w:t>
            </w:r>
          </w:p>
        </w:tc>
        <w:tc>
          <w:tcPr>
            <w:tcW w:w="6309" w:type="dxa"/>
            <w:noWrap/>
            <w:hideMark/>
          </w:tcPr>
          <w:p w:rsidR="00462F87" w:rsidRPr="00462F87" w:rsidRDefault="00462F87">
            <w:pPr>
              <w:rPr>
                <w:b/>
                <w:bCs/>
              </w:rPr>
            </w:pPr>
          </w:p>
        </w:tc>
        <w:tc>
          <w:tcPr>
            <w:tcW w:w="865" w:type="dxa"/>
            <w:vMerge w:val="restart"/>
            <w:noWrap/>
            <w:hideMark/>
          </w:tcPr>
          <w:p w:rsidR="00462F87" w:rsidRPr="00462F87" w:rsidRDefault="00462F87"/>
        </w:tc>
        <w:tc>
          <w:tcPr>
            <w:tcW w:w="1296" w:type="dxa"/>
            <w:noWrap/>
            <w:hideMark/>
          </w:tcPr>
          <w:p w:rsidR="00462F87" w:rsidRPr="00462F87" w:rsidRDefault="00462F87" w:rsidP="00462F87"/>
        </w:tc>
      </w:tr>
      <w:tr w:rsidR="00462F87" w:rsidRPr="00462F87" w:rsidTr="00462F87">
        <w:trPr>
          <w:trHeight w:val="960"/>
        </w:trPr>
        <w:tc>
          <w:tcPr>
            <w:tcW w:w="6918" w:type="dxa"/>
            <w:noWrap/>
            <w:hideMark/>
          </w:tcPr>
          <w:p w:rsidR="00462F87" w:rsidRPr="00462F87" w:rsidRDefault="00462F87">
            <w:r w:rsidRPr="00462F87">
              <w:t>1.14.1. Directiva e-</w:t>
            </w:r>
            <w:proofErr w:type="spellStart"/>
            <w:r w:rsidRPr="00462F87">
              <w:t>Privacy</w:t>
            </w:r>
            <w:proofErr w:type="spellEnd"/>
            <w:r w:rsidRPr="00462F87">
              <w:t>: Directiva 2002/58/CE del Parlamento Europeo y del Consejo de 12 de julio de 2002, relativa al tratamiento de los datos personales y a la protección de la intimidad en el sector de las comunicaciones electrónicas (Directiva sobre privacidad y las comunicaciones electrónicas) o Reglamento e-</w:t>
            </w:r>
            <w:proofErr w:type="spellStart"/>
            <w:r w:rsidRPr="00462F87">
              <w:t>Privacy</w:t>
            </w:r>
            <w:proofErr w:type="spellEnd"/>
            <w:r w:rsidRPr="00462F87">
              <w:t xml:space="preserve"> cuando se apruebe.</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1290"/>
        </w:trPr>
        <w:tc>
          <w:tcPr>
            <w:tcW w:w="6918" w:type="dxa"/>
            <w:noWrap/>
            <w:hideMark/>
          </w:tcPr>
          <w:p w:rsidR="00462F87" w:rsidRPr="00462F87" w:rsidRDefault="00462F87">
            <w:r w:rsidRPr="00462F87">
              <w:t xml:space="preserve"> 1.14.2. Directiva 2009/136/CE del Parlamento Europeo y del Consejo, de 25 de noviembre de 2009, por la que se modifican la Directiva 2002/22/CE relativa al servicio universal y los derechos de los usuarios en relación con las redes y los servicios de comunicaciones electrónicas, la Directiva 2002/58/CE relativa al tratamiento de los datos personales y a la protección de la intimidad en el sector de las comunicaciones electrónicas y el Reglamento (CE) </w:t>
            </w:r>
            <w:proofErr w:type="spellStart"/>
            <w:r w:rsidRPr="00462F87">
              <w:t>nº</w:t>
            </w:r>
            <w:proofErr w:type="spellEnd"/>
            <w:r w:rsidRPr="00462F87">
              <w:t xml:space="preserve"> 2006/2004 sobre la cooperación en materia de protección de los consumidores.  </w:t>
            </w:r>
          </w:p>
        </w:tc>
        <w:tc>
          <w:tcPr>
            <w:tcW w:w="6309" w:type="dxa"/>
            <w:noWrap/>
            <w:hideMark/>
          </w:tcPr>
          <w:p w:rsidR="00462F87" w:rsidRPr="00462F87" w:rsidRDefault="00462F87"/>
        </w:tc>
        <w:tc>
          <w:tcPr>
            <w:tcW w:w="865" w:type="dxa"/>
            <w:vMerge/>
            <w:hideMark/>
          </w:tcPr>
          <w:p w:rsidR="00462F87" w:rsidRPr="00462F87" w:rsidRDefault="00462F87"/>
        </w:tc>
        <w:tc>
          <w:tcPr>
            <w:tcW w:w="1296" w:type="dxa"/>
            <w:noWrap/>
            <w:hideMark/>
          </w:tcPr>
          <w:p w:rsidR="00462F87" w:rsidRPr="00462F87" w:rsidRDefault="00462F87"/>
        </w:tc>
      </w:tr>
      <w:tr w:rsidR="00462F87" w:rsidRPr="00462F87" w:rsidTr="00462F87">
        <w:trPr>
          <w:trHeight w:val="1260"/>
        </w:trPr>
        <w:tc>
          <w:tcPr>
            <w:tcW w:w="6918" w:type="dxa"/>
            <w:tcBorders>
              <w:bottom w:val="single" w:sz="4" w:space="0" w:color="auto"/>
            </w:tcBorders>
            <w:noWrap/>
            <w:hideMark/>
          </w:tcPr>
          <w:p w:rsidR="00462F87" w:rsidRPr="00462F87" w:rsidRDefault="00462F87">
            <w:r w:rsidRPr="00462F87">
              <w:lastRenderedPageBreak/>
              <w:t xml:space="preserve">1.14.3. 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w:t>
            </w:r>
          </w:p>
        </w:tc>
        <w:tc>
          <w:tcPr>
            <w:tcW w:w="6309" w:type="dxa"/>
            <w:tcBorders>
              <w:bottom w:val="single" w:sz="4" w:space="0" w:color="auto"/>
            </w:tcBorders>
            <w:noWrap/>
            <w:hideMark/>
          </w:tcPr>
          <w:p w:rsidR="00462F87" w:rsidRPr="00462F87" w:rsidRDefault="00462F87"/>
        </w:tc>
        <w:tc>
          <w:tcPr>
            <w:tcW w:w="865" w:type="dxa"/>
            <w:vMerge/>
            <w:tcBorders>
              <w:bottom w:val="single" w:sz="4" w:space="0" w:color="auto"/>
            </w:tcBorders>
            <w:hideMark/>
          </w:tcPr>
          <w:p w:rsidR="00462F87" w:rsidRPr="00462F87" w:rsidRDefault="00462F87"/>
        </w:tc>
        <w:tc>
          <w:tcPr>
            <w:tcW w:w="1296" w:type="dxa"/>
            <w:tcBorders>
              <w:bottom w:val="single" w:sz="4" w:space="0" w:color="auto"/>
            </w:tcBorders>
            <w:noWrap/>
            <w:hideMark/>
          </w:tcPr>
          <w:p w:rsidR="00462F87" w:rsidRPr="00462F87" w:rsidRDefault="00462F87"/>
        </w:tc>
      </w:tr>
    </w:tbl>
    <w:p w:rsidR="00891C0E" w:rsidRDefault="00891C0E"/>
    <w:tbl>
      <w:tblPr>
        <w:tblStyle w:val="Tablaconcuadrcula"/>
        <w:tblW w:w="0" w:type="auto"/>
        <w:tblLook w:val="04A0" w:firstRow="1" w:lastRow="0" w:firstColumn="1" w:lastColumn="0" w:noHBand="0" w:noVBand="1"/>
      </w:tblPr>
      <w:tblGrid>
        <w:gridCol w:w="6918"/>
        <w:gridCol w:w="6309"/>
        <w:gridCol w:w="865"/>
        <w:gridCol w:w="1296"/>
      </w:tblGrid>
      <w:tr w:rsidR="00462F87" w:rsidRPr="00462F87" w:rsidTr="00891C0E">
        <w:trPr>
          <w:trHeight w:val="506"/>
          <w:tblHeader/>
        </w:trPr>
        <w:tc>
          <w:tcPr>
            <w:tcW w:w="15388" w:type="dxa"/>
            <w:gridSpan w:val="4"/>
            <w:shd w:val="clear" w:color="auto" w:fill="FBE4D5" w:themeFill="accent2" w:themeFillTint="33"/>
            <w:noWrap/>
          </w:tcPr>
          <w:p w:rsidR="00462F87" w:rsidRPr="00462F87" w:rsidRDefault="00462F87" w:rsidP="00462F87">
            <w:r w:rsidRPr="00462F87">
              <w:rPr>
                <w:b/>
                <w:bCs/>
                <w:sz w:val="32"/>
              </w:rPr>
              <w:t xml:space="preserve">DOMINIO </w:t>
            </w:r>
            <w:r>
              <w:rPr>
                <w:b/>
                <w:bCs/>
                <w:sz w:val="32"/>
              </w:rPr>
              <w:t>2</w:t>
            </w:r>
          </w:p>
        </w:tc>
      </w:tr>
      <w:tr w:rsidR="00891C0E" w:rsidRPr="00462F87" w:rsidTr="00891C0E">
        <w:trPr>
          <w:trHeight w:val="360"/>
          <w:tblHeader/>
        </w:trPr>
        <w:tc>
          <w:tcPr>
            <w:tcW w:w="6918" w:type="dxa"/>
            <w:tcBorders>
              <w:bottom w:val="single" w:sz="4" w:space="0" w:color="auto"/>
            </w:tcBorders>
            <w:noWrap/>
            <w:vAlign w:val="center"/>
            <w:hideMark/>
          </w:tcPr>
          <w:p w:rsidR="00891C0E" w:rsidRPr="00462F87" w:rsidRDefault="00891C0E" w:rsidP="00B420B5">
            <w:pPr>
              <w:rPr>
                <w:b/>
                <w:bCs/>
              </w:rPr>
            </w:pPr>
            <w:r w:rsidRPr="00462F87">
              <w:rPr>
                <w:b/>
                <w:bCs/>
              </w:rPr>
              <w:t>PROGRAMA AEPD</w:t>
            </w:r>
          </w:p>
        </w:tc>
        <w:tc>
          <w:tcPr>
            <w:tcW w:w="6309" w:type="dxa"/>
            <w:tcBorders>
              <w:bottom w:val="single" w:sz="4" w:space="0" w:color="auto"/>
            </w:tcBorders>
            <w:noWrap/>
            <w:vAlign w:val="center"/>
            <w:hideMark/>
          </w:tcPr>
          <w:p w:rsidR="00891C0E" w:rsidRPr="00462F87" w:rsidRDefault="00891C0E" w:rsidP="00B420B5">
            <w:pPr>
              <w:rPr>
                <w:b/>
                <w:bCs/>
              </w:rPr>
            </w:pPr>
            <w:r w:rsidRPr="00462F87">
              <w:rPr>
                <w:b/>
                <w:bCs/>
              </w:rPr>
              <w:t xml:space="preserve">PROGRAMA OBJETO </w:t>
            </w:r>
            <w:r w:rsidRPr="00462F87">
              <w:rPr>
                <w:b/>
                <w:bCs/>
              </w:rPr>
              <w:t>DE RECONOCIMIENTO</w:t>
            </w:r>
          </w:p>
        </w:tc>
        <w:tc>
          <w:tcPr>
            <w:tcW w:w="865" w:type="dxa"/>
            <w:tcBorders>
              <w:bottom w:val="single" w:sz="4" w:space="0" w:color="auto"/>
            </w:tcBorders>
            <w:noWrap/>
            <w:vAlign w:val="center"/>
            <w:hideMark/>
          </w:tcPr>
          <w:p w:rsidR="00891C0E" w:rsidRPr="00462F87" w:rsidRDefault="00891C0E" w:rsidP="00B420B5">
            <w:pPr>
              <w:rPr>
                <w:b/>
                <w:bCs/>
              </w:rPr>
            </w:pPr>
            <w:r w:rsidRPr="00462F87">
              <w:rPr>
                <w:b/>
                <w:bCs/>
              </w:rPr>
              <w:t xml:space="preserve">HORAS </w:t>
            </w:r>
          </w:p>
        </w:tc>
        <w:tc>
          <w:tcPr>
            <w:tcW w:w="1296" w:type="dxa"/>
            <w:tcBorders>
              <w:bottom w:val="single" w:sz="4" w:space="0" w:color="auto"/>
            </w:tcBorders>
            <w:noWrap/>
            <w:vAlign w:val="center"/>
            <w:hideMark/>
          </w:tcPr>
          <w:p w:rsidR="00891C0E" w:rsidRPr="00462F87" w:rsidRDefault="00891C0E" w:rsidP="00B420B5">
            <w:pPr>
              <w:jc w:val="center"/>
              <w:rPr>
                <w:b/>
                <w:bCs/>
              </w:rPr>
            </w:pPr>
            <w:r w:rsidRPr="00462F87">
              <w:rPr>
                <w:b/>
                <w:bCs/>
              </w:rPr>
              <w:t xml:space="preserve">Verificación </w:t>
            </w:r>
            <w:r>
              <w:rPr>
                <w:b/>
                <w:bCs/>
              </w:rPr>
              <w:t>IVAC</w:t>
            </w:r>
          </w:p>
        </w:tc>
      </w:tr>
      <w:tr w:rsidR="00462F87" w:rsidRPr="00462F87" w:rsidTr="00462F87">
        <w:trPr>
          <w:trHeight w:val="364"/>
        </w:trPr>
        <w:tc>
          <w:tcPr>
            <w:tcW w:w="6918" w:type="dxa"/>
            <w:noWrap/>
            <w:vAlign w:val="bottom"/>
          </w:tcPr>
          <w:p w:rsidR="00462F87" w:rsidRDefault="00462F87" w:rsidP="00462F87">
            <w:pPr>
              <w:rPr>
                <w:rFonts w:ascii="Calibri" w:hAnsi="Calibri" w:cs="Calibri"/>
                <w:b/>
                <w:bCs/>
                <w:color w:val="000000"/>
              </w:rPr>
            </w:pPr>
            <w:r>
              <w:rPr>
                <w:rFonts w:ascii="Calibri" w:hAnsi="Calibri" w:cs="Calibri"/>
                <w:b/>
                <w:bCs/>
                <w:color w:val="000000"/>
              </w:rPr>
              <w:t>2.1 Análisis y gestión de riesgos de los tratamientos de datos personales.</w:t>
            </w:r>
          </w:p>
        </w:tc>
        <w:tc>
          <w:tcPr>
            <w:tcW w:w="6309" w:type="dxa"/>
            <w:noWrap/>
          </w:tcPr>
          <w:p w:rsidR="00462F87" w:rsidRPr="00462F87" w:rsidRDefault="00462F87" w:rsidP="00462F87"/>
        </w:tc>
        <w:tc>
          <w:tcPr>
            <w:tcW w:w="865" w:type="dxa"/>
          </w:tcPr>
          <w:p w:rsidR="00462F87" w:rsidRPr="00462F87" w:rsidRDefault="00462F87" w:rsidP="00462F87"/>
        </w:tc>
        <w:tc>
          <w:tcPr>
            <w:tcW w:w="1296" w:type="dxa"/>
            <w:noWrap/>
          </w:tcPr>
          <w:p w:rsidR="00462F87" w:rsidRPr="00462F87" w:rsidRDefault="00462F87" w:rsidP="00462F87"/>
        </w:tc>
      </w:tr>
      <w:tr w:rsidR="00462F87" w:rsidRPr="00462F87" w:rsidTr="00462F87">
        <w:trPr>
          <w:trHeight w:val="364"/>
        </w:trPr>
        <w:tc>
          <w:tcPr>
            <w:tcW w:w="6918" w:type="dxa"/>
            <w:noWrap/>
            <w:vAlign w:val="bottom"/>
          </w:tcPr>
          <w:p w:rsidR="00462F87" w:rsidRDefault="00462F87" w:rsidP="00462F87">
            <w:pPr>
              <w:rPr>
                <w:rFonts w:ascii="Calibri" w:hAnsi="Calibri" w:cs="Calibri"/>
                <w:color w:val="000000"/>
              </w:rPr>
            </w:pPr>
            <w:r>
              <w:rPr>
                <w:rFonts w:ascii="Calibri" w:hAnsi="Calibri" w:cs="Calibri"/>
                <w:color w:val="000000"/>
              </w:rPr>
              <w:t>2.1.1. Introducción. Marco general de la evaluación y gestión de riesgos. Conceptos generales.</w:t>
            </w:r>
          </w:p>
        </w:tc>
        <w:tc>
          <w:tcPr>
            <w:tcW w:w="6309" w:type="dxa"/>
            <w:noWrap/>
          </w:tcPr>
          <w:p w:rsidR="00462F87" w:rsidRPr="00462F87" w:rsidRDefault="00462F87" w:rsidP="00462F87"/>
        </w:tc>
        <w:tc>
          <w:tcPr>
            <w:tcW w:w="865" w:type="dxa"/>
          </w:tcPr>
          <w:p w:rsidR="00462F87" w:rsidRPr="00462F87" w:rsidRDefault="00462F87" w:rsidP="00462F87"/>
        </w:tc>
        <w:tc>
          <w:tcPr>
            <w:tcW w:w="1296" w:type="dxa"/>
            <w:noWrap/>
          </w:tcPr>
          <w:p w:rsidR="00462F87" w:rsidRPr="00462F87" w:rsidRDefault="00462F87" w:rsidP="00462F87"/>
        </w:tc>
      </w:tr>
      <w:tr w:rsidR="00462F87" w:rsidRPr="00462F87" w:rsidTr="00462F87">
        <w:trPr>
          <w:trHeight w:val="364"/>
        </w:trPr>
        <w:tc>
          <w:tcPr>
            <w:tcW w:w="6918" w:type="dxa"/>
            <w:noWrap/>
            <w:vAlign w:val="bottom"/>
          </w:tcPr>
          <w:p w:rsidR="00462F87" w:rsidRDefault="00462F87" w:rsidP="00462F87">
            <w:pPr>
              <w:rPr>
                <w:rFonts w:ascii="Calibri" w:hAnsi="Calibri" w:cs="Calibri"/>
                <w:color w:val="000000"/>
              </w:rPr>
            </w:pPr>
            <w:r>
              <w:rPr>
                <w:rFonts w:ascii="Calibri" w:hAnsi="Calibri" w:cs="Calibri"/>
                <w:color w:val="000000"/>
              </w:rPr>
              <w:t>2.1.2. Evaluación de riesgos. Inventario y valoración de activos. Inventario y valoración amenazas. Salvaguardas existentes y valoración de su protección. Riesgo resultante.</w:t>
            </w:r>
          </w:p>
        </w:tc>
        <w:tc>
          <w:tcPr>
            <w:tcW w:w="6309" w:type="dxa"/>
            <w:noWrap/>
          </w:tcPr>
          <w:p w:rsidR="00462F87" w:rsidRPr="00462F87" w:rsidRDefault="00462F87" w:rsidP="00462F87"/>
        </w:tc>
        <w:tc>
          <w:tcPr>
            <w:tcW w:w="865" w:type="dxa"/>
          </w:tcPr>
          <w:p w:rsidR="00462F87" w:rsidRPr="00462F87" w:rsidRDefault="00462F87" w:rsidP="00462F87"/>
        </w:tc>
        <w:tc>
          <w:tcPr>
            <w:tcW w:w="1296" w:type="dxa"/>
            <w:noWrap/>
          </w:tcPr>
          <w:p w:rsidR="00462F87" w:rsidRPr="00462F87" w:rsidRDefault="00462F87" w:rsidP="00462F87"/>
        </w:tc>
      </w:tr>
      <w:tr w:rsidR="00462F87" w:rsidRPr="00462F87" w:rsidTr="00462F87">
        <w:trPr>
          <w:trHeight w:val="364"/>
        </w:trPr>
        <w:tc>
          <w:tcPr>
            <w:tcW w:w="6918" w:type="dxa"/>
            <w:noWrap/>
            <w:vAlign w:val="bottom"/>
          </w:tcPr>
          <w:p w:rsidR="00462F87" w:rsidRDefault="00462F87" w:rsidP="00462F87">
            <w:pPr>
              <w:rPr>
                <w:rFonts w:ascii="Calibri" w:hAnsi="Calibri" w:cs="Calibri"/>
                <w:color w:val="000000"/>
              </w:rPr>
            </w:pPr>
            <w:r>
              <w:rPr>
                <w:rFonts w:ascii="Calibri" w:hAnsi="Calibri" w:cs="Calibri"/>
                <w:color w:val="000000"/>
              </w:rPr>
              <w:t>2.1.3. Gestión de riesgos. Conceptos. Implementación. Selección y asignación de salvaguardas a amenazas. Valoración de la protección. Riesgo residual, riesgo aceptable y riesgo inasumible.</w:t>
            </w:r>
          </w:p>
        </w:tc>
        <w:tc>
          <w:tcPr>
            <w:tcW w:w="6309" w:type="dxa"/>
            <w:noWrap/>
          </w:tcPr>
          <w:p w:rsidR="00462F87" w:rsidRPr="00462F87" w:rsidRDefault="00462F87" w:rsidP="00462F87"/>
        </w:tc>
        <w:tc>
          <w:tcPr>
            <w:tcW w:w="865" w:type="dxa"/>
          </w:tcPr>
          <w:p w:rsidR="00462F87" w:rsidRPr="00462F87" w:rsidRDefault="00462F87" w:rsidP="00462F87"/>
        </w:tc>
        <w:tc>
          <w:tcPr>
            <w:tcW w:w="1296" w:type="dxa"/>
            <w:noWrap/>
          </w:tcPr>
          <w:p w:rsidR="00462F87" w:rsidRPr="00462F87" w:rsidRDefault="00462F87" w:rsidP="00462F87"/>
        </w:tc>
      </w:tr>
      <w:tr w:rsidR="00462F87" w:rsidRPr="00462F87" w:rsidTr="00462F87">
        <w:trPr>
          <w:trHeight w:val="364"/>
        </w:trPr>
        <w:tc>
          <w:tcPr>
            <w:tcW w:w="6918" w:type="dxa"/>
            <w:noWrap/>
            <w:vAlign w:val="bottom"/>
          </w:tcPr>
          <w:p w:rsidR="00462F87" w:rsidRDefault="00462F87" w:rsidP="00462F87">
            <w:pPr>
              <w:rPr>
                <w:rFonts w:ascii="Calibri" w:hAnsi="Calibri" w:cs="Calibri"/>
                <w:b/>
                <w:bCs/>
                <w:color w:val="000000"/>
              </w:rPr>
            </w:pPr>
            <w:r>
              <w:rPr>
                <w:rFonts w:ascii="Calibri" w:hAnsi="Calibri" w:cs="Calibri"/>
                <w:b/>
                <w:bCs/>
                <w:color w:val="000000"/>
              </w:rPr>
              <w:lastRenderedPageBreak/>
              <w:t>2.2. Metodologías de análisis y gestión de riesgos.</w:t>
            </w:r>
          </w:p>
        </w:tc>
        <w:tc>
          <w:tcPr>
            <w:tcW w:w="6309" w:type="dxa"/>
            <w:noWrap/>
          </w:tcPr>
          <w:p w:rsidR="00462F87" w:rsidRPr="00462F87" w:rsidRDefault="00462F87" w:rsidP="00462F87"/>
        </w:tc>
        <w:tc>
          <w:tcPr>
            <w:tcW w:w="865" w:type="dxa"/>
          </w:tcPr>
          <w:p w:rsidR="00462F87" w:rsidRPr="00462F87" w:rsidRDefault="00462F87" w:rsidP="00462F87"/>
        </w:tc>
        <w:tc>
          <w:tcPr>
            <w:tcW w:w="1296" w:type="dxa"/>
            <w:noWrap/>
          </w:tcPr>
          <w:p w:rsidR="00462F87" w:rsidRPr="00462F87" w:rsidRDefault="00462F87" w:rsidP="00462F87"/>
        </w:tc>
      </w:tr>
      <w:tr w:rsidR="00462F87" w:rsidRPr="00462F87" w:rsidTr="00462F87">
        <w:trPr>
          <w:trHeight w:val="364"/>
        </w:trPr>
        <w:tc>
          <w:tcPr>
            <w:tcW w:w="6918" w:type="dxa"/>
            <w:noWrap/>
            <w:vAlign w:val="bottom"/>
          </w:tcPr>
          <w:p w:rsidR="00462F87" w:rsidRDefault="00462F87" w:rsidP="00462F87">
            <w:pPr>
              <w:rPr>
                <w:rFonts w:ascii="Calibri" w:hAnsi="Calibri" w:cs="Calibri"/>
                <w:b/>
                <w:bCs/>
                <w:color w:val="000000"/>
              </w:rPr>
            </w:pPr>
            <w:r>
              <w:rPr>
                <w:rFonts w:ascii="Calibri" w:hAnsi="Calibri" w:cs="Calibri"/>
                <w:b/>
                <w:bCs/>
                <w:color w:val="000000"/>
              </w:rPr>
              <w:t>2.3. Programa de cumplimiento de Protección de Datos y Seguridad en una organización.</w:t>
            </w:r>
          </w:p>
        </w:tc>
        <w:tc>
          <w:tcPr>
            <w:tcW w:w="6309" w:type="dxa"/>
            <w:noWrap/>
          </w:tcPr>
          <w:p w:rsidR="00462F87" w:rsidRPr="00462F87" w:rsidRDefault="00462F87" w:rsidP="00462F87"/>
        </w:tc>
        <w:tc>
          <w:tcPr>
            <w:tcW w:w="865" w:type="dxa"/>
          </w:tcPr>
          <w:p w:rsidR="00462F87" w:rsidRPr="00462F87" w:rsidRDefault="00462F87" w:rsidP="00462F87"/>
        </w:tc>
        <w:tc>
          <w:tcPr>
            <w:tcW w:w="1296" w:type="dxa"/>
            <w:noWrap/>
          </w:tcPr>
          <w:p w:rsidR="00462F87" w:rsidRPr="00462F87" w:rsidRDefault="00462F87" w:rsidP="00462F87"/>
        </w:tc>
      </w:tr>
      <w:tr w:rsidR="00462F87" w:rsidRPr="00462F87" w:rsidTr="00462F87">
        <w:trPr>
          <w:trHeight w:val="364"/>
        </w:trPr>
        <w:tc>
          <w:tcPr>
            <w:tcW w:w="6918" w:type="dxa"/>
            <w:noWrap/>
            <w:vAlign w:val="bottom"/>
          </w:tcPr>
          <w:p w:rsidR="00462F87" w:rsidRDefault="00462F87" w:rsidP="00462F87">
            <w:pPr>
              <w:rPr>
                <w:rFonts w:ascii="Calibri" w:hAnsi="Calibri" w:cs="Calibri"/>
                <w:color w:val="000000"/>
              </w:rPr>
            </w:pPr>
            <w:r>
              <w:rPr>
                <w:rFonts w:ascii="Calibri" w:hAnsi="Calibri" w:cs="Calibri"/>
                <w:color w:val="000000"/>
              </w:rPr>
              <w:t>2.3.1. El Diseño y la implantación del programa de protección de datos en el contexto de la organización.</w:t>
            </w:r>
          </w:p>
        </w:tc>
        <w:tc>
          <w:tcPr>
            <w:tcW w:w="6309" w:type="dxa"/>
            <w:noWrap/>
          </w:tcPr>
          <w:p w:rsidR="00462F87" w:rsidRPr="00462F87" w:rsidRDefault="00462F87" w:rsidP="00462F87"/>
        </w:tc>
        <w:tc>
          <w:tcPr>
            <w:tcW w:w="865" w:type="dxa"/>
          </w:tcPr>
          <w:p w:rsidR="00462F87" w:rsidRPr="00462F87" w:rsidRDefault="00462F87" w:rsidP="00462F87"/>
        </w:tc>
        <w:tc>
          <w:tcPr>
            <w:tcW w:w="1296" w:type="dxa"/>
            <w:noWrap/>
          </w:tcPr>
          <w:p w:rsidR="00462F87" w:rsidRPr="00462F87" w:rsidRDefault="00462F87" w:rsidP="00462F87"/>
        </w:tc>
      </w:tr>
      <w:tr w:rsidR="00462F87" w:rsidRPr="00462F87" w:rsidTr="00462F87">
        <w:trPr>
          <w:trHeight w:val="364"/>
        </w:trPr>
        <w:tc>
          <w:tcPr>
            <w:tcW w:w="6918" w:type="dxa"/>
            <w:noWrap/>
            <w:vAlign w:val="bottom"/>
          </w:tcPr>
          <w:p w:rsidR="00462F87" w:rsidRDefault="00462F87" w:rsidP="00462F87">
            <w:pPr>
              <w:rPr>
                <w:rFonts w:ascii="Calibri" w:hAnsi="Calibri" w:cs="Calibri"/>
                <w:color w:val="000000"/>
              </w:rPr>
            </w:pPr>
            <w:r>
              <w:rPr>
                <w:rFonts w:ascii="Calibri" w:hAnsi="Calibri" w:cs="Calibri"/>
                <w:color w:val="000000"/>
              </w:rPr>
              <w:t>2.3.2. Objetivos del programa de cumplimiento.</w:t>
            </w:r>
          </w:p>
        </w:tc>
        <w:tc>
          <w:tcPr>
            <w:tcW w:w="6309" w:type="dxa"/>
            <w:noWrap/>
          </w:tcPr>
          <w:p w:rsidR="00462F87" w:rsidRPr="00462F87" w:rsidRDefault="00462F87" w:rsidP="00462F87"/>
        </w:tc>
        <w:tc>
          <w:tcPr>
            <w:tcW w:w="865" w:type="dxa"/>
          </w:tcPr>
          <w:p w:rsidR="00462F87" w:rsidRPr="00462F87" w:rsidRDefault="00462F87" w:rsidP="00462F87"/>
        </w:tc>
        <w:tc>
          <w:tcPr>
            <w:tcW w:w="1296" w:type="dxa"/>
            <w:noWrap/>
          </w:tcPr>
          <w:p w:rsidR="00462F87" w:rsidRPr="00462F87" w:rsidRDefault="00462F87" w:rsidP="00462F87"/>
        </w:tc>
      </w:tr>
      <w:tr w:rsidR="00462F87" w:rsidRPr="00462F87" w:rsidTr="00462F87">
        <w:trPr>
          <w:trHeight w:val="364"/>
        </w:trPr>
        <w:tc>
          <w:tcPr>
            <w:tcW w:w="6918" w:type="dxa"/>
            <w:noWrap/>
            <w:vAlign w:val="bottom"/>
          </w:tcPr>
          <w:p w:rsidR="00462F87" w:rsidRDefault="00462F87" w:rsidP="00462F87">
            <w:pPr>
              <w:rPr>
                <w:rFonts w:ascii="Calibri" w:hAnsi="Calibri" w:cs="Calibri"/>
                <w:color w:val="000000"/>
              </w:rPr>
            </w:pPr>
            <w:r>
              <w:rPr>
                <w:rFonts w:ascii="Calibri" w:hAnsi="Calibri" w:cs="Calibri"/>
                <w:color w:val="000000"/>
              </w:rPr>
              <w:t xml:space="preserve">2.3.3. </w:t>
            </w:r>
            <w:proofErr w:type="spellStart"/>
            <w:r>
              <w:rPr>
                <w:rFonts w:ascii="Calibri" w:hAnsi="Calibri" w:cs="Calibri"/>
                <w:color w:val="000000"/>
              </w:rPr>
              <w:t>Accountability</w:t>
            </w:r>
            <w:proofErr w:type="spellEnd"/>
            <w:r>
              <w:rPr>
                <w:rFonts w:ascii="Calibri" w:hAnsi="Calibri" w:cs="Calibri"/>
                <w:color w:val="000000"/>
              </w:rPr>
              <w:t>: La trazabilidad del modelo de cumplimiento.</w:t>
            </w:r>
          </w:p>
        </w:tc>
        <w:tc>
          <w:tcPr>
            <w:tcW w:w="6309" w:type="dxa"/>
            <w:noWrap/>
          </w:tcPr>
          <w:p w:rsidR="00462F87" w:rsidRPr="00462F87" w:rsidRDefault="00462F87" w:rsidP="00462F87"/>
        </w:tc>
        <w:tc>
          <w:tcPr>
            <w:tcW w:w="865" w:type="dxa"/>
          </w:tcPr>
          <w:p w:rsidR="00462F87" w:rsidRPr="00462F87" w:rsidRDefault="00462F87" w:rsidP="00462F87"/>
        </w:tc>
        <w:tc>
          <w:tcPr>
            <w:tcW w:w="1296" w:type="dxa"/>
            <w:noWrap/>
          </w:tcPr>
          <w:p w:rsidR="00462F87" w:rsidRPr="00462F87" w:rsidRDefault="00462F87" w:rsidP="00462F87"/>
        </w:tc>
      </w:tr>
      <w:tr w:rsidR="00462F87" w:rsidRPr="00462F87" w:rsidTr="00462F87">
        <w:trPr>
          <w:trHeight w:val="364"/>
        </w:trPr>
        <w:tc>
          <w:tcPr>
            <w:tcW w:w="6918" w:type="dxa"/>
            <w:noWrap/>
            <w:vAlign w:val="bottom"/>
          </w:tcPr>
          <w:p w:rsidR="00462F87" w:rsidRDefault="00462F87" w:rsidP="00462F87">
            <w:pPr>
              <w:rPr>
                <w:rFonts w:ascii="Calibri" w:hAnsi="Calibri" w:cs="Calibri"/>
                <w:b/>
                <w:bCs/>
                <w:color w:val="000000"/>
              </w:rPr>
            </w:pPr>
            <w:r>
              <w:rPr>
                <w:rFonts w:ascii="Calibri" w:hAnsi="Calibri" w:cs="Calibri"/>
                <w:b/>
                <w:bCs/>
                <w:color w:val="000000"/>
              </w:rPr>
              <w:t>2.4. Seguridad de la información.</w:t>
            </w:r>
          </w:p>
        </w:tc>
        <w:tc>
          <w:tcPr>
            <w:tcW w:w="6309" w:type="dxa"/>
            <w:noWrap/>
          </w:tcPr>
          <w:p w:rsidR="00462F87" w:rsidRPr="00462F87" w:rsidRDefault="00462F87" w:rsidP="00462F87"/>
        </w:tc>
        <w:tc>
          <w:tcPr>
            <w:tcW w:w="865" w:type="dxa"/>
          </w:tcPr>
          <w:p w:rsidR="00462F87" w:rsidRPr="00462F87" w:rsidRDefault="00462F87" w:rsidP="00462F87"/>
        </w:tc>
        <w:tc>
          <w:tcPr>
            <w:tcW w:w="1296" w:type="dxa"/>
            <w:noWrap/>
          </w:tcPr>
          <w:p w:rsidR="00462F87" w:rsidRPr="00462F87" w:rsidRDefault="00462F87" w:rsidP="00462F87"/>
        </w:tc>
      </w:tr>
      <w:tr w:rsidR="00462F87" w:rsidRPr="00462F87" w:rsidTr="00462F87">
        <w:trPr>
          <w:trHeight w:val="364"/>
        </w:trPr>
        <w:tc>
          <w:tcPr>
            <w:tcW w:w="6918" w:type="dxa"/>
            <w:noWrap/>
            <w:vAlign w:val="bottom"/>
          </w:tcPr>
          <w:p w:rsidR="00462F87" w:rsidRDefault="00462F87" w:rsidP="00462F87">
            <w:pPr>
              <w:rPr>
                <w:rFonts w:ascii="Calibri" w:hAnsi="Calibri" w:cs="Calibri"/>
                <w:color w:val="000000"/>
              </w:rPr>
            </w:pPr>
            <w:r>
              <w:rPr>
                <w:rFonts w:ascii="Calibri" w:hAnsi="Calibri" w:cs="Calibri"/>
                <w:color w:val="000000"/>
              </w:rPr>
              <w:t>2.4.1. Marco normativo. Esquema Nacional de Seguridad y directiva NIS: Directiva (UE) 2016/1148 relativa a las medidas destinadas a garantizar un elevado nivel común de seguridad de las redes y sistemas de informa</w:t>
            </w:r>
          </w:p>
        </w:tc>
        <w:tc>
          <w:tcPr>
            <w:tcW w:w="6309" w:type="dxa"/>
            <w:noWrap/>
          </w:tcPr>
          <w:p w:rsidR="00462F87" w:rsidRPr="00462F87" w:rsidRDefault="00462F87" w:rsidP="00462F87"/>
        </w:tc>
        <w:tc>
          <w:tcPr>
            <w:tcW w:w="865" w:type="dxa"/>
          </w:tcPr>
          <w:p w:rsidR="00462F87" w:rsidRPr="00462F87" w:rsidRDefault="00462F87" w:rsidP="00462F87"/>
        </w:tc>
        <w:tc>
          <w:tcPr>
            <w:tcW w:w="1296" w:type="dxa"/>
            <w:noWrap/>
          </w:tcPr>
          <w:p w:rsidR="00462F87" w:rsidRPr="00462F87" w:rsidRDefault="00462F87" w:rsidP="00462F87"/>
        </w:tc>
      </w:tr>
      <w:tr w:rsidR="00462F87" w:rsidRPr="00462F87" w:rsidTr="00462F87">
        <w:trPr>
          <w:trHeight w:val="364"/>
        </w:trPr>
        <w:tc>
          <w:tcPr>
            <w:tcW w:w="6918" w:type="dxa"/>
            <w:noWrap/>
            <w:vAlign w:val="bottom"/>
          </w:tcPr>
          <w:p w:rsidR="00462F87" w:rsidRDefault="00462F87" w:rsidP="00462F87">
            <w:pPr>
              <w:rPr>
                <w:rFonts w:ascii="Calibri" w:hAnsi="Calibri" w:cs="Calibri"/>
                <w:color w:val="000000"/>
              </w:rPr>
            </w:pPr>
            <w:r>
              <w:rPr>
                <w:rFonts w:ascii="Calibri" w:hAnsi="Calibri" w:cs="Calibri"/>
                <w:color w:val="000000"/>
              </w:rPr>
              <w:t>2.4.2. Ciberseguridad y gobierno de la seguridad de la información. Generalidades, Misión, gobierno efectivo de la Seguridad de la Información (SI). Conceptos de SI. Alcance. Métricas del gobierno de la SI. Estado de la</w:t>
            </w:r>
          </w:p>
        </w:tc>
        <w:tc>
          <w:tcPr>
            <w:tcW w:w="6309" w:type="dxa"/>
            <w:noWrap/>
          </w:tcPr>
          <w:p w:rsidR="00462F87" w:rsidRPr="00462F87" w:rsidRDefault="00462F87" w:rsidP="00462F87"/>
        </w:tc>
        <w:tc>
          <w:tcPr>
            <w:tcW w:w="865" w:type="dxa"/>
          </w:tcPr>
          <w:p w:rsidR="00462F87" w:rsidRPr="00462F87" w:rsidRDefault="00462F87" w:rsidP="00462F87"/>
        </w:tc>
        <w:tc>
          <w:tcPr>
            <w:tcW w:w="1296" w:type="dxa"/>
            <w:noWrap/>
          </w:tcPr>
          <w:p w:rsidR="00462F87" w:rsidRPr="00462F87" w:rsidRDefault="00462F87" w:rsidP="00462F87"/>
        </w:tc>
      </w:tr>
      <w:tr w:rsidR="00462F87" w:rsidRPr="00462F87" w:rsidTr="00462F87">
        <w:trPr>
          <w:trHeight w:val="364"/>
        </w:trPr>
        <w:tc>
          <w:tcPr>
            <w:tcW w:w="6918" w:type="dxa"/>
            <w:noWrap/>
            <w:vAlign w:val="bottom"/>
          </w:tcPr>
          <w:p w:rsidR="00462F87" w:rsidRDefault="00462F87" w:rsidP="00462F87">
            <w:pPr>
              <w:rPr>
                <w:rFonts w:ascii="Calibri" w:hAnsi="Calibri" w:cs="Calibri"/>
                <w:color w:val="000000"/>
              </w:rPr>
            </w:pPr>
            <w:r>
              <w:rPr>
                <w:rFonts w:ascii="Calibri" w:hAnsi="Calibri" w:cs="Calibri"/>
                <w:color w:val="000000"/>
              </w:rPr>
              <w:t xml:space="preserve">2.4.3. Puesta en práctica de la seguridad de la información. Seguridad desde el diseño y por defecto. El ciclo de vida de los Sistemas de Información. Integración de la seguridad y la privacidad en el ciclo de vida. El </w:t>
            </w:r>
            <w:proofErr w:type="gramStart"/>
            <w:r>
              <w:rPr>
                <w:rFonts w:ascii="Calibri" w:hAnsi="Calibri" w:cs="Calibri"/>
                <w:color w:val="000000"/>
              </w:rPr>
              <w:t>control  de</w:t>
            </w:r>
            <w:proofErr w:type="gramEnd"/>
            <w:r>
              <w:rPr>
                <w:rFonts w:ascii="Calibri" w:hAnsi="Calibri" w:cs="Calibri"/>
                <w:color w:val="000000"/>
              </w:rPr>
              <w:t xml:space="preserve"> calidad de los sistemas SI</w:t>
            </w:r>
          </w:p>
        </w:tc>
        <w:tc>
          <w:tcPr>
            <w:tcW w:w="6309" w:type="dxa"/>
            <w:noWrap/>
          </w:tcPr>
          <w:p w:rsidR="00462F87" w:rsidRPr="00462F87" w:rsidRDefault="00462F87" w:rsidP="00462F87"/>
        </w:tc>
        <w:tc>
          <w:tcPr>
            <w:tcW w:w="865" w:type="dxa"/>
          </w:tcPr>
          <w:p w:rsidR="00462F87" w:rsidRPr="00462F87" w:rsidRDefault="00462F87" w:rsidP="00462F87"/>
        </w:tc>
        <w:tc>
          <w:tcPr>
            <w:tcW w:w="1296" w:type="dxa"/>
            <w:noWrap/>
          </w:tcPr>
          <w:p w:rsidR="00462F87" w:rsidRPr="00462F87" w:rsidRDefault="00462F87" w:rsidP="00462F87"/>
        </w:tc>
      </w:tr>
      <w:tr w:rsidR="00462F87" w:rsidRPr="00462F87" w:rsidTr="00462F87">
        <w:trPr>
          <w:trHeight w:val="364"/>
        </w:trPr>
        <w:tc>
          <w:tcPr>
            <w:tcW w:w="6918" w:type="dxa"/>
            <w:noWrap/>
            <w:vAlign w:val="bottom"/>
          </w:tcPr>
          <w:p w:rsidR="00462F87" w:rsidRDefault="00462F87" w:rsidP="00462F87">
            <w:pPr>
              <w:rPr>
                <w:rFonts w:ascii="Calibri" w:hAnsi="Calibri" w:cs="Calibri"/>
                <w:b/>
                <w:bCs/>
                <w:color w:val="000000"/>
              </w:rPr>
            </w:pPr>
            <w:r>
              <w:rPr>
                <w:rFonts w:ascii="Calibri" w:hAnsi="Calibri" w:cs="Calibri"/>
                <w:b/>
                <w:bCs/>
                <w:color w:val="000000"/>
              </w:rPr>
              <w:t>2.5. Evaluación de Impacto de Protección de Datos “EIPD”.</w:t>
            </w:r>
          </w:p>
        </w:tc>
        <w:tc>
          <w:tcPr>
            <w:tcW w:w="6309" w:type="dxa"/>
            <w:noWrap/>
          </w:tcPr>
          <w:p w:rsidR="00462F87" w:rsidRPr="00462F87" w:rsidRDefault="00462F87" w:rsidP="00462F87"/>
        </w:tc>
        <w:tc>
          <w:tcPr>
            <w:tcW w:w="865" w:type="dxa"/>
          </w:tcPr>
          <w:p w:rsidR="00462F87" w:rsidRPr="00462F87" w:rsidRDefault="00462F87" w:rsidP="00462F87"/>
        </w:tc>
        <w:tc>
          <w:tcPr>
            <w:tcW w:w="1296" w:type="dxa"/>
            <w:noWrap/>
          </w:tcPr>
          <w:p w:rsidR="00462F87" w:rsidRPr="00462F87" w:rsidRDefault="00462F87" w:rsidP="00462F87"/>
        </w:tc>
      </w:tr>
      <w:tr w:rsidR="00462F87" w:rsidRPr="00462F87" w:rsidTr="008A6C2C">
        <w:trPr>
          <w:trHeight w:val="364"/>
        </w:trPr>
        <w:tc>
          <w:tcPr>
            <w:tcW w:w="6918" w:type="dxa"/>
            <w:noWrap/>
            <w:vAlign w:val="bottom"/>
          </w:tcPr>
          <w:p w:rsidR="00462F87" w:rsidRDefault="00462F87" w:rsidP="00462F87">
            <w:pPr>
              <w:rPr>
                <w:rFonts w:ascii="Calibri" w:hAnsi="Calibri" w:cs="Calibri"/>
                <w:color w:val="000000"/>
              </w:rPr>
            </w:pPr>
            <w:r>
              <w:rPr>
                <w:rFonts w:ascii="Calibri" w:hAnsi="Calibri" w:cs="Calibri"/>
                <w:color w:val="000000"/>
              </w:rPr>
              <w:lastRenderedPageBreak/>
              <w:t>2.5.1. Introducción y fundamentos de las EIPD: Origen, concepto y características de las EIPD. Alcance y necesidad. Estándares.</w:t>
            </w:r>
          </w:p>
        </w:tc>
        <w:tc>
          <w:tcPr>
            <w:tcW w:w="6309" w:type="dxa"/>
            <w:noWrap/>
          </w:tcPr>
          <w:p w:rsidR="00462F87" w:rsidRPr="00462F87" w:rsidRDefault="00462F87" w:rsidP="00462F87"/>
        </w:tc>
        <w:tc>
          <w:tcPr>
            <w:tcW w:w="865" w:type="dxa"/>
          </w:tcPr>
          <w:p w:rsidR="00462F87" w:rsidRPr="00462F87" w:rsidRDefault="00462F87" w:rsidP="00462F87"/>
        </w:tc>
        <w:tc>
          <w:tcPr>
            <w:tcW w:w="1296" w:type="dxa"/>
            <w:noWrap/>
          </w:tcPr>
          <w:p w:rsidR="00462F87" w:rsidRPr="00462F87" w:rsidRDefault="00462F87" w:rsidP="00462F87"/>
        </w:tc>
      </w:tr>
      <w:tr w:rsidR="00462F87" w:rsidRPr="00462F87" w:rsidTr="0015641F">
        <w:trPr>
          <w:trHeight w:val="364"/>
        </w:trPr>
        <w:tc>
          <w:tcPr>
            <w:tcW w:w="6918" w:type="dxa"/>
            <w:tcBorders>
              <w:bottom w:val="single" w:sz="4" w:space="0" w:color="auto"/>
            </w:tcBorders>
            <w:noWrap/>
            <w:vAlign w:val="bottom"/>
          </w:tcPr>
          <w:p w:rsidR="00462F87" w:rsidRDefault="00462F87" w:rsidP="00462F87">
            <w:pPr>
              <w:rPr>
                <w:rFonts w:ascii="Calibri" w:hAnsi="Calibri" w:cs="Calibri"/>
                <w:color w:val="000000"/>
              </w:rPr>
            </w:pPr>
            <w:r>
              <w:rPr>
                <w:rFonts w:ascii="Calibri" w:hAnsi="Calibri" w:cs="Calibri"/>
                <w:color w:val="000000"/>
              </w:rPr>
              <w:t>2.5.2. Realización de una evaluación de impacto. Aspectos preparatorios y organizativos, análisis de la necesidad de llevar a cabo la evaluación y consultas previas.</w:t>
            </w:r>
          </w:p>
        </w:tc>
        <w:tc>
          <w:tcPr>
            <w:tcW w:w="6309" w:type="dxa"/>
            <w:tcBorders>
              <w:bottom w:val="single" w:sz="4" w:space="0" w:color="auto"/>
            </w:tcBorders>
            <w:noWrap/>
          </w:tcPr>
          <w:p w:rsidR="00462F87" w:rsidRPr="00462F87" w:rsidRDefault="00462F87" w:rsidP="00462F87"/>
        </w:tc>
        <w:tc>
          <w:tcPr>
            <w:tcW w:w="865" w:type="dxa"/>
            <w:tcBorders>
              <w:bottom w:val="single" w:sz="4" w:space="0" w:color="auto"/>
            </w:tcBorders>
          </w:tcPr>
          <w:p w:rsidR="00462F87" w:rsidRPr="00462F87" w:rsidRDefault="00462F87" w:rsidP="00462F87"/>
        </w:tc>
        <w:tc>
          <w:tcPr>
            <w:tcW w:w="1296" w:type="dxa"/>
            <w:tcBorders>
              <w:bottom w:val="single" w:sz="4" w:space="0" w:color="auto"/>
            </w:tcBorders>
            <w:noWrap/>
          </w:tcPr>
          <w:p w:rsidR="00462F87" w:rsidRPr="00462F87" w:rsidRDefault="00462F87" w:rsidP="00462F87"/>
        </w:tc>
      </w:tr>
    </w:tbl>
    <w:p w:rsidR="00891C0E" w:rsidRDefault="00891C0E"/>
    <w:tbl>
      <w:tblPr>
        <w:tblStyle w:val="Tablaconcuadrcula"/>
        <w:tblW w:w="0" w:type="auto"/>
        <w:tblLook w:val="04A0" w:firstRow="1" w:lastRow="0" w:firstColumn="1" w:lastColumn="0" w:noHBand="0" w:noVBand="1"/>
      </w:tblPr>
      <w:tblGrid>
        <w:gridCol w:w="6918"/>
        <w:gridCol w:w="6309"/>
        <w:gridCol w:w="865"/>
        <w:gridCol w:w="1296"/>
      </w:tblGrid>
      <w:tr w:rsidR="0015641F" w:rsidRPr="00462F87" w:rsidTr="00891C0E">
        <w:trPr>
          <w:trHeight w:val="364"/>
          <w:tblHeader/>
        </w:trPr>
        <w:tc>
          <w:tcPr>
            <w:tcW w:w="15388" w:type="dxa"/>
            <w:gridSpan w:val="4"/>
            <w:shd w:val="clear" w:color="auto" w:fill="FBE4D5" w:themeFill="accent2" w:themeFillTint="33"/>
            <w:noWrap/>
            <w:vAlign w:val="bottom"/>
          </w:tcPr>
          <w:p w:rsidR="0015641F" w:rsidRPr="00462F87" w:rsidRDefault="0015641F" w:rsidP="00462F87">
            <w:r w:rsidRPr="00462F87">
              <w:rPr>
                <w:b/>
                <w:bCs/>
                <w:sz w:val="32"/>
              </w:rPr>
              <w:t xml:space="preserve">DOMINIO </w:t>
            </w:r>
            <w:r>
              <w:rPr>
                <w:b/>
                <w:bCs/>
                <w:sz w:val="32"/>
              </w:rPr>
              <w:t>3</w:t>
            </w:r>
          </w:p>
        </w:tc>
      </w:tr>
      <w:tr w:rsidR="00891C0E" w:rsidRPr="00462F87" w:rsidTr="00891C0E">
        <w:trPr>
          <w:trHeight w:val="360"/>
          <w:tblHeader/>
        </w:trPr>
        <w:tc>
          <w:tcPr>
            <w:tcW w:w="6918" w:type="dxa"/>
            <w:tcBorders>
              <w:bottom w:val="single" w:sz="4" w:space="0" w:color="auto"/>
            </w:tcBorders>
            <w:noWrap/>
            <w:vAlign w:val="center"/>
            <w:hideMark/>
          </w:tcPr>
          <w:p w:rsidR="00891C0E" w:rsidRPr="00462F87" w:rsidRDefault="00891C0E" w:rsidP="00B420B5">
            <w:pPr>
              <w:rPr>
                <w:b/>
                <w:bCs/>
              </w:rPr>
            </w:pPr>
            <w:r w:rsidRPr="00462F87">
              <w:rPr>
                <w:b/>
                <w:bCs/>
              </w:rPr>
              <w:t>PROGRAMA AEPD</w:t>
            </w:r>
          </w:p>
        </w:tc>
        <w:tc>
          <w:tcPr>
            <w:tcW w:w="6309" w:type="dxa"/>
            <w:tcBorders>
              <w:bottom w:val="single" w:sz="4" w:space="0" w:color="auto"/>
            </w:tcBorders>
            <w:noWrap/>
            <w:vAlign w:val="center"/>
            <w:hideMark/>
          </w:tcPr>
          <w:p w:rsidR="00891C0E" w:rsidRPr="00462F87" w:rsidRDefault="00891C0E" w:rsidP="00B420B5">
            <w:pPr>
              <w:rPr>
                <w:b/>
                <w:bCs/>
              </w:rPr>
            </w:pPr>
            <w:r w:rsidRPr="00462F87">
              <w:rPr>
                <w:b/>
                <w:bCs/>
              </w:rPr>
              <w:t>PROGRAMA OBJETO DE RECONOCIMIENTO</w:t>
            </w:r>
          </w:p>
        </w:tc>
        <w:tc>
          <w:tcPr>
            <w:tcW w:w="865" w:type="dxa"/>
            <w:tcBorders>
              <w:bottom w:val="single" w:sz="4" w:space="0" w:color="auto"/>
            </w:tcBorders>
            <w:noWrap/>
            <w:vAlign w:val="center"/>
            <w:hideMark/>
          </w:tcPr>
          <w:p w:rsidR="00891C0E" w:rsidRPr="00462F87" w:rsidRDefault="00891C0E" w:rsidP="00B420B5">
            <w:pPr>
              <w:rPr>
                <w:b/>
                <w:bCs/>
              </w:rPr>
            </w:pPr>
            <w:r w:rsidRPr="00462F87">
              <w:rPr>
                <w:b/>
                <w:bCs/>
              </w:rPr>
              <w:t xml:space="preserve">HORAS </w:t>
            </w:r>
          </w:p>
        </w:tc>
        <w:tc>
          <w:tcPr>
            <w:tcW w:w="1296" w:type="dxa"/>
            <w:tcBorders>
              <w:bottom w:val="single" w:sz="4" w:space="0" w:color="auto"/>
            </w:tcBorders>
            <w:noWrap/>
            <w:vAlign w:val="center"/>
            <w:hideMark/>
          </w:tcPr>
          <w:p w:rsidR="00891C0E" w:rsidRPr="00462F87" w:rsidRDefault="00891C0E" w:rsidP="00B420B5">
            <w:pPr>
              <w:jc w:val="center"/>
              <w:rPr>
                <w:b/>
                <w:bCs/>
              </w:rPr>
            </w:pPr>
            <w:r w:rsidRPr="00462F87">
              <w:rPr>
                <w:b/>
                <w:bCs/>
              </w:rPr>
              <w:t xml:space="preserve">Verificación </w:t>
            </w:r>
            <w:r>
              <w:rPr>
                <w:b/>
                <w:bCs/>
              </w:rPr>
              <w:t>IVAC</w:t>
            </w:r>
          </w:p>
        </w:tc>
      </w:tr>
      <w:tr w:rsidR="00A81BF2" w:rsidRPr="00462F87" w:rsidTr="008A6C2C">
        <w:trPr>
          <w:trHeight w:val="364"/>
        </w:trPr>
        <w:tc>
          <w:tcPr>
            <w:tcW w:w="6918" w:type="dxa"/>
            <w:noWrap/>
            <w:vAlign w:val="bottom"/>
          </w:tcPr>
          <w:p w:rsidR="00A81BF2" w:rsidRDefault="00A81BF2" w:rsidP="00A81BF2">
            <w:pPr>
              <w:rPr>
                <w:rFonts w:ascii="Calibri" w:hAnsi="Calibri" w:cs="Calibri"/>
                <w:b/>
                <w:bCs/>
                <w:color w:val="000000"/>
              </w:rPr>
            </w:pPr>
            <w:r>
              <w:rPr>
                <w:rFonts w:ascii="Calibri" w:hAnsi="Calibri" w:cs="Calibri"/>
                <w:b/>
                <w:bCs/>
                <w:color w:val="000000"/>
              </w:rPr>
              <w:t>3.1. La auditoría de protección de datos.</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color w:val="000000"/>
              </w:rPr>
            </w:pPr>
            <w:r>
              <w:rPr>
                <w:rFonts w:ascii="Calibri" w:hAnsi="Calibri" w:cs="Calibri"/>
                <w:color w:val="000000"/>
              </w:rPr>
              <w:t>3.1.1. El proceso de auditoría. Cuestiones generales y aproximación a la auditoría. Características básicas de la Auditoría.</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color w:val="000000"/>
              </w:rPr>
            </w:pPr>
            <w:r>
              <w:rPr>
                <w:rFonts w:ascii="Calibri" w:hAnsi="Calibri" w:cs="Calibri"/>
                <w:color w:val="000000"/>
              </w:rPr>
              <w:t>3.1.2. Elaboración del informe de auditoría. Aspectos básicos e importancia del informe de auditoría.</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color w:val="000000"/>
              </w:rPr>
            </w:pPr>
            <w:r>
              <w:rPr>
                <w:rFonts w:ascii="Calibri" w:hAnsi="Calibri" w:cs="Calibri"/>
                <w:color w:val="000000"/>
              </w:rPr>
              <w:t>3.1.3. Ejecución y seguimiento de acciones correctoras.</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b/>
                <w:bCs/>
                <w:color w:val="000000"/>
              </w:rPr>
            </w:pPr>
            <w:r>
              <w:rPr>
                <w:rFonts w:ascii="Calibri" w:hAnsi="Calibri" w:cs="Calibri"/>
                <w:b/>
                <w:bCs/>
                <w:color w:val="000000"/>
              </w:rPr>
              <w:t>3.2. Auditoría de Sistemas de Información.</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color w:val="000000"/>
              </w:rPr>
            </w:pPr>
            <w:r>
              <w:rPr>
                <w:rFonts w:ascii="Calibri" w:hAnsi="Calibri" w:cs="Calibri"/>
                <w:color w:val="000000"/>
              </w:rPr>
              <w:t>3.2.1. La Función de la Auditoría en los Sistemas de Información. Conceptos básicos. Estándares y Directrices de Auditoría de SI.</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color w:val="000000"/>
              </w:rPr>
            </w:pPr>
            <w:r>
              <w:rPr>
                <w:rFonts w:ascii="Calibri" w:hAnsi="Calibri" w:cs="Calibri"/>
                <w:color w:val="000000"/>
              </w:rPr>
              <w:lastRenderedPageBreak/>
              <w:t>3.2.2. Control interno y mejora continua. Buenas prácticas. Integración de la auditoria de protección de datos en la auditoria de SI.</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color w:val="000000"/>
              </w:rPr>
            </w:pPr>
            <w:r>
              <w:rPr>
                <w:rFonts w:ascii="Calibri" w:hAnsi="Calibri" w:cs="Calibri"/>
                <w:color w:val="000000"/>
              </w:rPr>
              <w:t>3.2.3. Planificación, ejecución y seguimiento.</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b/>
                <w:bCs/>
                <w:color w:val="000000"/>
              </w:rPr>
            </w:pPr>
            <w:r>
              <w:rPr>
                <w:rFonts w:ascii="Calibri" w:hAnsi="Calibri" w:cs="Calibri"/>
                <w:b/>
                <w:bCs/>
                <w:color w:val="000000"/>
              </w:rPr>
              <w:t>3.3. La gestión de la seguridad de los tratamientos.</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color w:val="000000"/>
              </w:rPr>
            </w:pPr>
            <w:r>
              <w:rPr>
                <w:rFonts w:ascii="Calibri" w:hAnsi="Calibri" w:cs="Calibri"/>
                <w:color w:val="000000"/>
              </w:rPr>
              <w:t>3.3.1. Esquema Nacional de Seguridad, ISO/IEC 27001:2013 (UNE ISO/IEC 27001:2014: Requisitos de Sistemas de Gestión de Seguridad de la Información, SGSI).</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color w:val="000000"/>
              </w:rPr>
            </w:pPr>
            <w:r>
              <w:rPr>
                <w:rFonts w:ascii="Calibri" w:hAnsi="Calibri" w:cs="Calibri"/>
                <w:color w:val="000000"/>
              </w:rPr>
              <w:t>3.3.2. Gestión de la Seguridad de los Activos. Seguridad lógica y en los procedimientos. Seguridad aplicada a las TI y a la documentación.</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color w:val="000000"/>
              </w:rPr>
            </w:pPr>
            <w:r>
              <w:rPr>
                <w:rFonts w:ascii="Calibri" w:hAnsi="Calibri" w:cs="Calibri"/>
                <w:color w:val="000000"/>
              </w:rPr>
              <w:t>3.3.3. Recuperación de desastres y Continuidad del Negocio. Protección de los activos técnicos y documentales. Planificación y gestión de la Recuperación del Desastres.</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b/>
                <w:bCs/>
                <w:color w:val="000000"/>
              </w:rPr>
            </w:pPr>
            <w:r>
              <w:rPr>
                <w:rFonts w:ascii="Calibri" w:hAnsi="Calibri" w:cs="Calibri"/>
                <w:b/>
                <w:bCs/>
                <w:color w:val="000000"/>
              </w:rPr>
              <w:t>3.3. Otros conocimientos</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color w:val="000000"/>
              </w:rPr>
            </w:pPr>
            <w:r>
              <w:rPr>
                <w:rFonts w:ascii="Calibri" w:hAnsi="Calibri" w:cs="Calibri"/>
                <w:color w:val="000000"/>
              </w:rPr>
              <w:t xml:space="preserve">3.4.1. El </w:t>
            </w:r>
            <w:proofErr w:type="spellStart"/>
            <w:r>
              <w:rPr>
                <w:rFonts w:ascii="Calibri" w:hAnsi="Calibri" w:cs="Calibri"/>
                <w:color w:val="000000"/>
              </w:rPr>
              <w:t>cloud</w:t>
            </w:r>
            <w:proofErr w:type="spellEnd"/>
            <w:r>
              <w:rPr>
                <w:rFonts w:ascii="Calibri" w:hAnsi="Calibri" w:cs="Calibri"/>
                <w:color w:val="000000"/>
              </w:rPr>
              <w:t xml:space="preserve"> </w:t>
            </w:r>
            <w:proofErr w:type="spellStart"/>
            <w:r>
              <w:rPr>
                <w:rFonts w:ascii="Calibri" w:hAnsi="Calibri" w:cs="Calibri"/>
                <w:color w:val="000000"/>
              </w:rPr>
              <w:t>computing</w:t>
            </w:r>
            <w:proofErr w:type="spellEnd"/>
            <w:r>
              <w:rPr>
                <w:rFonts w:ascii="Calibri" w:hAnsi="Calibri" w:cs="Calibri"/>
                <w:color w:val="000000"/>
              </w:rPr>
              <w:t>.</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color w:val="000000"/>
              </w:rPr>
            </w:pPr>
            <w:r>
              <w:rPr>
                <w:rFonts w:ascii="Calibri" w:hAnsi="Calibri" w:cs="Calibri"/>
                <w:color w:val="000000"/>
              </w:rPr>
              <w:t>3.4.2. Los Smartphones.</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color w:val="000000"/>
              </w:rPr>
            </w:pPr>
            <w:r>
              <w:rPr>
                <w:rFonts w:ascii="Calibri" w:hAnsi="Calibri" w:cs="Calibri"/>
                <w:color w:val="000000"/>
              </w:rPr>
              <w:t>3.4.3. Internet de las cosas (</w:t>
            </w:r>
            <w:proofErr w:type="spellStart"/>
            <w:r>
              <w:rPr>
                <w:rFonts w:ascii="Calibri" w:hAnsi="Calibri" w:cs="Calibri"/>
                <w:color w:val="000000"/>
              </w:rPr>
              <w:t>IoT</w:t>
            </w:r>
            <w:proofErr w:type="spellEnd"/>
            <w:r>
              <w:rPr>
                <w:rFonts w:ascii="Calibri" w:hAnsi="Calibri" w:cs="Calibri"/>
                <w:color w:val="000000"/>
              </w:rPr>
              <w:t>).</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color w:val="000000"/>
              </w:rPr>
            </w:pPr>
            <w:r>
              <w:rPr>
                <w:rFonts w:ascii="Calibri" w:hAnsi="Calibri" w:cs="Calibri"/>
                <w:color w:val="000000"/>
              </w:rPr>
              <w:t>3.4.4. Big data y elaboración de perfiles.</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color w:val="000000"/>
              </w:rPr>
            </w:pPr>
            <w:r>
              <w:rPr>
                <w:rFonts w:ascii="Calibri" w:hAnsi="Calibri" w:cs="Calibri"/>
                <w:color w:val="000000"/>
              </w:rPr>
              <w:t>3.4.5. Redes sociales</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8A6C2C">
        <w:trPr>
          <w:trHeight w:val="364"/>
        </w:trPr>
        <w:tc>
          <w:tcPr>
            <w:tcW w:w="6918" w:type="dxa"/>
            <w:noWrap/>
            <w:vAlign w:val="bottom"/>
          </w:tcPr>
          <w:p w:rsidR="00A81BF2" w:rsidRDefault="00A81BF2" w:rsidP="00A81BF2">
            <w:pPr>
              <w:rPr>
                <w:rFonts w:ascii="Calibri" w:hAnsi="Calibri" w:cs="Calibri"/>
                <w:color w:val="000000"/>
              </w:rPr>
            </w:pPr>
            <w:r>
              <w:rPr>
                <w:rFonts w:ascii="Calibri" w:hAnsi="Calibri" w:cs="Calibri"/>
                <w:color w:val="000000"/>
              </w:rPr>
              <w:t>3.4.6. Tecnologías de seguimiento de usuario</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A81BF2">
        <w:trPr>
          <w:trHeight w:val="364"/>
        </w:trPr>
        <w:tc>
          <w:tcPr>
            <w:tcW w:w="6918" w:type="dxa"/>
            <w:tcBorders>
              <w:bottom w:val="single" w:sz="4" w:space="0" w:color="auto"/>
            </w:tcBorders>
            <w:noWrap/>
            <w:vAlign w:val="bottom"/>
          </w:tcPr>
          <w:p w:rsidR="00A81BF2" w:rsidRDefault="00A81BF2" w:rsidP="00A81BF2">
            <w:pPr>
              <w:rPr>
                <w:rFonts w:ascii="Calibri" w:hAnsi="Calibri" w:cs="Calibri"/>
                <w:color w:val="000000"/>
              </w:rPr>
            </w:pPr>
            <w:r>
              <w:rPr>
                <w:rFonts w:ascii="Calibri" w:hAnsi="Calibri" w:cs="Calibri"/>
                <w:color w:val="000000"/>
              </w:rPr>
              <w:lastRenderedPageBreak/>
              <w:t xml:space="preserve">3.4.7. </w:t>
            </w:r>
            <w:proofErr w:type="spellStart"/>
            <w:r>
              <w:rPr>
                <w:rFonts w:ascii="Calibri" w:hAnsi="Calibri" w:cs="Calibri"/>
                <w:color w:val="000000"/>
              </w:rPr>
              <w:t>Blockchain</w:t>
            </w:r>
            <w:proofErr w:type="spellEnd"/>
            <w:r>
              <w:rPr>
                <w:rFonts w:ascii="Calibri" w:hAnsi="Calibri" w:cs="Calibri"/>
                <w:color w:val="000000"/>
              </w:rPr>
              <w:t xml:space="preserve"> y últimas tecnologías</w:t>
            </w:r>
          </w:p>
        </w:tc>
        <w:tc>
          <w:tcPr>
            <w:tcW w:w="6309" w:type="dxa"/>
            <w:noWrap/>
          </w:tcPr>
          <w:p w:rsidR="00A81BF2" w:rsidRPr="00462F87" w:rsidRDefault="00A81BF2" w:rsidP="00A81BF2"/>
        </w:tc>
        <w:tc>
          <w:tcPr>
            <w:tcW w:w="865" w:type="dxa"/>
          </w:tcPr>
          <w:p w:rsidR="00A81BF2" w:rsidRPr="00462F87" w:rsidRDefault="00A81BF2" w:rsidP="00A81BF2"/>
        </w:tc>
        <w:tc>
          <w:tcPr>
            <w:tcW w:w="1296" w:type="dxa"/>
            <w:noWrap/>
          </w:tcPr>
          <w:p w:rsidR="00A81BF2" w:rsidRPr="00462F87" w:rsidRDefault="00A81BF2" w:rsidP="00A81BF2"/>
        </w:tc>
      </w:tr>
      <w:tr w:rsidR="00A81BF2" w:rsidRPr="00462F87" w:rsidTr="00A81BF2">
        <w:trPr>
          <w:trHeight w:val="364"/>
        </w:trPr>
        <w:tc>
          <w:tcPr>
            <w:tcW w:w="6918" w:type="dxa"/>
            <w:tcBorders>
              <w:left w:val="nil"/>
              <w:bottom w:val="nil"/>
            </w:tcBorders>
            <w:noWrap/>
            <w:vAlign w:val="bottom"/>
          </w:tcPr>
          <w:p w:rsidR="00A81BF2" w:rsidRDefault="00A81BF2" w:rsidP="00A81BF2">
            <w:pPr>
              <w:rPr>
                <w:rFonts w:ascii="Calibri" w:hAnsi="Calibri" w:cs="Calibri"/>
                <w:color w:val="000000"/>
              </w:rPr>
            </w:pPr>
          </w:p>
        </w:tc>
        <w:tc>
          <w:tcPr>
            <w:tcW w:w="6309" w:type="dxa"/>
            <w:noWrap/>
            <w:vAlign w:val="center"/>
          </w:tcPr>
          <w:p w:rsidR="00A81BF2" w:rsidRPr="00462F87" w:rsidRDefault="00A81BF2" w:rsidP="00A81BF2">
            <w:pPr>
              <w:jc w:val="center"/>
            </w:pPr>
            <w:r>
              <w:t>Curso de</w:t>
            </w:r>
            <w:r>
              <w:fldChar w:fldCharType="begin">
                <w:ffData>
                  <w:name w:val="Texto1"/>
                  <w:enabled/>
                  <w:calcOnExit w:val="0"/>
                  <w:textInput/>
                </w:ffData>
              </w:fldChar>
            </w:r>
            <w:bookmarkStart w:id="1"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Horas</w:t>
            </w:r>
          </w:p>
        </w:tc>
        <w:tc>
          <w:tcPr>
            <w:tcW w:w="865" w:type="dxa"/>
          </w:tcPr>
          <w:p w:rsidR="00A81BF2" w:rsidRDefault="00A81BF2" w:rsidP="00A81BF2">
            <w:pPr>
              <w:rPr>
                <w:b/>
              </w:rPr>
            </w:pPr>
            <w:r w:rsidRPr="00A81BF2">
              <w:rPr>
                <w:b/>
              </w:rPr>
              <w:t>TOTAL</w:t>
            </w:r>
          </w:p>
          <w:p w:rsidR="00A81BF2" w:rsidRPr="00A81BF2" w:rsidRDefault="00A81BF2" w:rsidP="00A81BF2">
            <w:pPr>
              <w:rPr>
                <w:b/>
              </w:rPr>
            </w:pPr>
            <w:r>
              <w:rPr>
                <w:b/>
              </w:rPr>
              <w:t>HORAS</w:t>
            </w:r>
          </w:p>
        </w:tc>
        <w:tc>
          <w:tcPr>
            <w:tcW w:w="1296" w:type="dxa"/>
            <w:noWrap/>
          </w:tcPr>
          <w:p w:rsidR="00A81BF2" w:rsidRPr="00462F87" w:rsidRDefault="00A81BF2" w:rsidP="00A81BF2"/>
        </w:tc>
      </w:tr>
    </w:tbl>
    <w:p w:rsidR="00891C0E" w:rsidRDefault="00891C0E"/>
    <w:tbl>
      <w:tblPr>
        <w:tblStyle w:val="Tablaconcuadrcula"/>
        <w:tblW w:w="0" w:type="auto"/>
        <w:tblLook w:val="04A0" w:firstRow="1" w:lastRow="0" w:firstColumn="1" w:lastColumn="0" w:noHBand="0" w:noVBand="1"/>
      </w:tblPr>
      <w:tblGrid>
        <w:gridCol w:w="10485"/>
        <w:gridCol w:w="4903"/>
      </w:tblGrid>
      <w:tr w:rsidR="001D6891" w:rsidRPr="00462F87" w:rsidTr="001D6891">
        <w:trPr>
          <w:trHeight w:val="488"/>
        </w:trPr>
        <w:tc>
          <w:tcPr>
            <w:tcW w:w="15388" w:type="dxa"/>
            <w:gridSpan w:val="2"/>
            <w:noWrap/>
            <w:vAlign w:val="bottom"/>
          </w:tcPr>
          <w:p w:rsidR="001D6891" w:rsidRDefault="001D6891" w:rsidP="00A81BF2">
            <w:pPr>
              <w:rPr>
                <w:rFonts w:ascii="Calibri" w:hAnsi="Calibri" w:cs="Calibri"/>
                <w:color w:val="000000"/>
              </w:rPr>
            </w:pPr>
            <w:r>
              <w:rPr>
                <w:rFonts w:ascii="Calibri" w:hAnsi="Calibri" w:cs="Calibri"/>
                <w:color w:val="000000"/>
              </w:rPr>
              <w:t>El firmante declara que la información indicada es completamente veraz y responde al curso de formación que pretende reconocer.</w:t>
            </w:r>
          </w:p>
          <w:p w:rsidR="001D6891" w:rsidRPr="00462F87" w:rsidRDefault="001D6891" w:rsidP="00A81BF2"/>
        </w:tc>
      </w:tr>
      <w:tr w:rsidR="001D6891" w:rsidRPr="00462F87" w:rsidTr="001D6891">
        <w:trPr>
          <w:trHeight w:val="488"/>
        </w:trPr>
        <w:tc>
          <w:tcPr>
            <w:tcW w:w="10485" w:type="dxa"/>
            <w:tcBorders>
              <w:bottom w:val="single" w:sz="4" w:space="0" w:color="auto"/>
            </w:tcBorders>
            <w:noWrap/>
            <w:vAlign w:val="bottom"/>
          </w:tcPr>
          <w:p w:rsidR="001D6891" w:rsidRPr="001D6891" w:rsidRDefault="001D6891" w:rsidP="00A81BF2">
            <w:pPr>
              <w:rPr>
                <w:rFonts w:ascii="Calibri" w:hAnsi="Calibri" w:cs="Calibri"/>
                <w:b/>
                <w:color w:val="000000"/>
              </w:rPr>
            </w:pPr>
            <w:r w:rsidRPr="001D6891">
              <w:rPr>
                <w:rFonts w:ascii="Calibri" w:hAnsi="Calibri" w:cs="Calibri"/>
                <w:b/>
                <w:color w:val="000000"/>
              </w:rPr>
              <w:t>Nombre Candidato/Denominación entidad:</w:t>
            </w:r>
          </w:p>
        </w:tc>
        <w:tc>
          <w:tcPr>
            <w:tcW w:w="4903" w:type="dxa"/>
            <w:vAlign w:val="bottom"/>
          </w:tcPr>
          <w:p w:rsidR="001D6891" w:rsidRPr="001D6891" w:rsidRDefault="001D6891" w:rsidP="00A81BF2">
            <w:pPr>
              <w:rPr>
                <w:rFonts w:ascii="Calibri" w:hAnsi="Calibri" w:cs="Calibri"/>
                <w:b/>
                <w:color w:val="000000"/>
              </w:rPr>
            </w:pPr>
            <w:r w:rsidRPr="001D6891">
              <w:rPr>
                <w:rFonts w:ascii="Calibri" w:hAnsi="Calibri" w:cs="Calibri"/>
                <w:b/>
                <w:color w:val="000000"/>
              </w:rPr>
              <w:t>F</w:t>
            </w:r>
            <w:r>
              <w:rPr>
                <w:rFonts w:ascii="Calibri" w:hAnsi="Calibri" w:cs="Calibri"/>
                <w:b/>
                <w:color w:val="000000"/>
              </w:rPr>
              <w:t>echa</w:t>
            </w:r>
          </w:p>
        </w:tc>
      </w:tr>
      <w:tr w:rsidR="001D6891" w:rsidRPr="00462F87" w:rsidTr="001D6891">
        <w:trPr>
          <w:trHeight w:val="488"/>
        </w:trPr>
        <w:tc>
          <w:tcPr>
            <w:tcW w:w="10485" w:type="dxa"/>
            <w:tcBorders>
              <w:left w:val="nil"/>
              <w:bottom w:val="nil"/>
            </w:tcBorders>
            <w:noWrap/>
            <w:vAlign w:val="bottom"/>
          </w:tcPr>
          <w:p w:rsidR="001D6891" w:rsidRPr="001D6891" w:rsidRDefault="001D6891" w:rsidP="00A81BF2">
            <w:pPr>
              <w:rPr>
                <w:rFonts w:ascii="Calibri" w:hAnsi="Calibri" w:cs="Calibri"/>
                <w:b/>
                <w:color w:val="000000"/>
              </w:rPr>
            </w:pPr>
          </w:p>
        </w:tc>
        <w:tc>
          <w:tcPr>
            <w:tcW w:w="4903" w:type="dxa"/>
            <w:vAlign w:val="bottom"/>
          </w:tcPr>
          <w:p w:rsidR="001D6891" w:rsidRDefault="001D6891" w:rsidP="00A81BF2">
            <w:pPr>
              <w:rPr>
                <w:rFonts w:ascii="Calibri" w:hAnsi="Calibri" w:cs="Calibri"/>
                <w:b/>
                <w:color w:val="000000"/>
              </w:rPr>
            </w:pPr>
            <w:r w:rsidRPr="001D6891">
              <w:rPr>
                <w:rFonts w:ascii="Calibri" w:hAnsi="Calibri" w:cs="Calibri"/>
                <w:b/>
                <w:color w:val="000000"/>
              </w:rPr>
              <w:t>Firma</w:t>
            </w:r>
          </w:p>
          <w:p w:rsidR="00891C0E" w:rsidRDefault="00891C0E" w:rsidP="00A81BF2">
            <w:pPr>
              <w:rPr>
                <w:rFonts w:ascii="Calibri" w:hAnsi="Calibri" w:cs="Calibri"/>
                <w:b/>
                <w:color w:val="000000"/>
              </w:rPr>
            </w:pPr>
          </w:p>
          <w:p w:rsidR="00891C0E" w:rsidRDefault="00891C0E" w:rsidP="00A81BF2">
            <w:pPr>
              <w:rPr>
                <w:rFonts w:ascii="Calibri" w:hAnsi="Calibri" w:cs="Calibri"/>
                <w:b/>
                <w:color w:val="000000"/>
              </w:rPr>
            </w:pPr>
          </w:p>
          <w:p w:rsidR="00891C0E" w:rsidRPr="001D6891" w:rsidRDefault="00891C0E" w:rsidP="00A81BF2">
            <w:pPr>
              <w:rPr>
                <w:rFonts w:ascii="Calibri" w:hAnsi="Calibri" w:cs="Calibri"/>
                <w:b/>
                <w:color w:val="000000"/>
              </w:rPr>
            </w:pPr>
            <w:bookmarkStart w:id="2" w:name="_GoBack"/>
            <w:bookmarkEnd w:id="2"/>
          </w:p>
        </w:tc>
      </w:tr>
    </w:tbl>
    <w:p w:rsidR="000A60B2" w:rsidRDefault="00891C0E"/>
    <w:sectPr w:rsidR="000A60B2" w:rsidSect="001D6891">
      <w:headerReference w:type="default" r:id="rId6"/>
      <w:footerReference w:type="default" r:id="rId7"/>
      <w:pgSz w:w="16838" w:h="11906" w:orient="landscape"/>
      <w:pgMar w:top="198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BF2" w:rsidRDefault="00A81BF2" w:rsidP="00A81BF2">
      <w:pPr>
        <w:spacing w:after="0" w:line="240" w:lineRule="auto"/>
      </w:pPr>
      <w:r>
        <w:separator/>
      </w:r>
    </w:p>
  </w:endnote>
  <w:endnote w:type="continuationSeparator" w:id="0">
    <w:p w:rsidR="00A81BF2" w:rsidRDefault="00A81BF2" w:rsidP="00A8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8201"/>
      <w:gridCol w:w="1086"/>
    </w:tblGrid>
    <w:tr w:rsidR="001D6891" w:rsidTr="001D6891">
      <w:tc>
        <w:tcPr>
          <w:tcW w:w="8201" w:type="dxa"/>
        </w:tcPr>
        <w:p w:rsidR="001D6891" w:rsidRDefault="001D6891" w:rsidP="001D6891">
          <w:pPr>
            <w:pStyle w:val="Prrafobsico"/>
            <w:jc w:val="right"/>
            <w:rPr>
              <w:rFonts w:ascii="Arial" w:hAnsi="Arial" w:cs="Arial"/>
              <w:sz w:val="12"/>
              <w:szCs w:val="12"/>
            </w:rPr>
          </w:pPr>
        </w:p>
        <w:p w:rsidR="001D6891" w:rsidRDefault="001D6891" w:rsidP="001D6891">
          <w:pPr>
            <w:pStyle w:val="Prrafobsico"/>
            <w:jc w:val="right"/>
            <w:rPr>
              <w:rFonts w:ascii="Arial" w:hAnsi="Arial" w:cs="Arial"/>
              <w:color w:val="333333"/>
              <w:sz w:val="12"/>
              <w:szCs w:val="12"/>
            </w:rPr>
          </w:pPr>
          <w:r>
            <w:rPr>
              <w:rFonts w:ascii="Arial" w:hAnsi="Arial" w:cs="Arial"/>
              <w:color w:val="333333"/>
              <w:sz w:val="12"/>
              <w:szCs w:val="12"/>
            </w:rPr>
            <w:t xml:space="preserve">GRUPO IVAC - http://www.ivac.es/ </w:t>
          </w:r>
        </w:p>
        <w:p w:rsidR="001D6891" w:rsidRDefault="001D6891" w:rsidP="001D6891">
          <w:pPr>
            <w:pStyle w:val="Prrafobsico"/>
            <w:jc w:val="right"/>
            <w:rPr>
              <w:rFonts w:ascii="Arial" w:hAnsi="Arial" w:cs="Arial"/>
              <w:color w:val="333333"/>
              <w:sz w:val="12"/>
              <w:szCs w:val="12"/>
            </w:rPr>
          </w:pPr>
          <w:r>
            <w:rPr>
              <w:rFonts w:ascii="Arial" w:hAnsi="Arial" w:cs="Arial"/>
              <w:color w:val="333333"/>
              <w:sz w:val="12"/>
              <w:szCs w:val="12"/>
            </w:rPr>
            <w:t>IVAC-INSTITUTO DE CERTIFICACIÓN, S.L - CIF: B97596746</w:t>
          </w:r>
        </w:p>
        <w:p w:rsidR="001D6891" w:rsidRDefault="001D6891" w:rsidP="001D6891">
          <w:pPr>
            <w:pStyle w:val="Prrafobsico"/>
            <w:jc w:val="right"/>
            <w:rPr>
              <w:rFonts w:ascii="Arial" w:hAnsi="Arial" w:cs="Arial"/>
              <w:color w:val="333333"/>
              <w:sz w:val="12"/>
              <w:szCs w:val="12"/>
              <w:lang w:val="en-GB"/>
            </w:rPr>
          </w:pPr>
          <w:proofErr w:type="spellStart"/>
          <w:r>
            <w:rPr>
              <w:rFonts w:ascii="Arial" w:hAnsi="Arial" w:cs="Arial"/>
              <w:color w:val="333333"/>
              <w:sz w:val="12"/>
              <w:szCs w:val="12"/>
              <w:lang w:val="en-GB"/>
            </w:rPr>
            <w:t>Telf</w:t>
          </w:r>
          <w:proofErr w:type="spellEnd"/>
          <w:r>
            <w:rPr>
              <w:rFonts w:ascii="Arial" w:hAnsi="Arial" w:cs="Arial"/>
              <w:color w:val="333333"/>
              <w:sz w:val="12"/>
              <w:szCs w:val="12"/>
              <w:lang w:val="en-GB"/>
            </w:rPr>
            <w:t>.: 963943905 - Fax.: 963943919 - e-mail: ivac@ivac.es</w:t>
          </w:r>
        </w:p>
        <w:p w:rsidR="001D6891" w:rsidRDefault="001D6891" w:rsidP="001D6891">
          <w:pPr>
            <w:pStyle w:val="Prrafobsico"/>
            <w:jc w:val="right"/>
            <w:rPr>
              <w:rFonts w:ascii="Arial" w:hAnsi="Arial" w:cs="Arial"/>
              <w:color w:val="333333"/>
              <w:sz w:val="12"/>
              <w:szCs w:val="12"/>
            </w:rPr>
          </w:pPr>
          <w:r>
            <w:rPr>
              <w:rFonts w:ascii="Arial" w:hAnsi="Arial" w:cs="Arial"/>
              <w:color w:val="333333"/>
              <w:sz w:val="12"/>
              <w:szCs w:val="12"/>
              <w:lang w:val="fr-FR"/>
            </w:rPr>
            <w:t xml:space="preserve">Parc </w:t>
          </w:r>
          <w:proofErr w:type="spellStart"/>
          <w:r>
            <w:rPr>
              <w:rFonts w:ascii="Arial" w:hAnsi="Arial" w:cs="Arial"/>
              <w:color w:val="333333"/>
              <w:sz w:val="12"/>
              <w:szCs w:val="12"/>
              <w:lang w:val="fr-FR"/>
            </w:rPr>
            <w:t>Cientific</w:t>
          </w:r>
          <w:proofErr w:type="spellEnd"/>
          <w:r>
            <w:rPr>
              <w:rFonts w:ascii="Arial" w:hAnsi="Arial" w:cs="Arial"/>
              <w:color w:val="333333"/>
              <w:sz w:val="12"/>
              <w:szCs w:val="12"/>
              <w:lang w:val="fr-FR"/>
            </w:rPr>
            <w:t xml:space="preserve"> de la </w:t>
          </w:r>
          <w:proofErr w:type="spellStart"/>
          <w:r>
            <w:rPr>
              <w:rFonts w:ascii="Arial" w:hAnsi="Arial" w:cs="Arial"/>
              <w:color w:val="333333"/>
              <w:sz w:val="12"/>
              <w:szCs w:val="12"/>
              <w:lang w:val="fr-FR"/>
            </w:rPr>
            <w:t>Universitat</w:t>
          </w:r>
          <w:proofErr w:type="spellEnd"/>
          <w:r>
            <w:rPr>
              <w:rFonts w:ascii="Arial" w:hAnsi="Arial" w:cs="Arial"/>
              <w:color w:val="333333"/>
              <w:sz w:val="12"/>
              <w:szCs w:val="12"/>
              <w:lang w:val="fr-FR"/>
            </w:rPr>
            <w:t xml:space="preserve"> de </w:t>
          </w:r>
          <w:proofErr w:type="spellStart"/>
          <w:r>
            <w:rPr>
              <w:rFonts w:ascii="Arial" w:hAnsi="Arial" w:cs="Arial"/>
              <w:color w:val="333333"/>
              <w:sz w:val="12"/>
              <w:szCs w:val="12"/>
              <w:lang w:val="fr-FR"/>
            </w:rPr>
            <w:t>València</w:t>
          </w:r>
          <w:proofErr w:type="spellEnd"/>
          <w:r>
            <w:rPr>
              <w:rFonts w:ascii="Arial" w:hAnsi="Arial" w:cs="Arial"/>
              <w:color w:val="333333"/>
              <w:sz w:val="12"/>
              <w:szCs w:val="12"/>
              <w:lang w:val="fr-FR"/>
            </w:rPr>
            <w:t xml:space="preserve">. </w:t>
          </w:r>
          <w:r>
            <w:rPr>
              <w:rFonts w:ascii="Arial" w:hAnsi="Arial" w:cs="Arial"/>
              <w:color w:val="333333"/>
              <w:sz w:val="12"/>
              <w:szCs w:val="12"/>
            </w:rPr>
            <w:t xml:space="preserve">Edificio 1 - Calle Catedrático Agustín Escardino, </w:t>
          </w:r>
          <w:proofErr w:type="spellStart"/>
          <w:r>
            <w:rPr>
              <w:rFonts w:ascii="Arial" w:hAnsi="Arial" w:cs="Arial"/>
              <w:color w:val="333333"/>
              <w:sz w:val="12"/>
              <w:szCs w:val="12"/>
            </w:rPr>
            <w:t>nº</w:t>
          </w:r>
          <w:proofErr w:type="spellEnd"/>
          <w:r>
            <w:rPr>
              <w:rFonts w:ascii="Arial" w:hAnsi="Arial" w:cs="Arial"/>
              <w:color w:val="333333"/>
              <w:sz w:val="12"/>
              <w:szCs w:val="12"/>
            </w:rPr>
            <w:t xml:space="preserve"> 9 - 46980 Paterna (Valencia)</w:t>
          </w:r>
        </w:p>
        <w:p w:rsidR="001D6891" w:rsidRDefault="001D6891" w:rsidP="001D6891">
          <w:pPr>
            <w:pStyle w:val="Encabezado"/>
            <w:rPr>
              <w:rFonts w:ascii="Arial" w:hAnsi="Arial" w:cs="Arial"/>
              <w:sz w:val="20"/>
              <w:szCs w:val="20"/>
            </w:rPr>
          </w:pPr>
        </w:p>
      </w:tc>
      <w:tc>
        <w:tcPr>
          <w:tcW w:w="1086" w:type="dxa"/>
          <w:hideMark/>
        </w:tcPr>
        <w:p w:rsidR="001D6891" w:rsidRDefault="001D6891" w:rsidP="001D6891">
          <w:pPr>
            <w:pStyle w:val="Prrafobsico"/>
            <w:jc w:val="right"/>
          </w:pPr>
          <w:r>
            <w:rPr>
              <w:noProof/>
              <w:lang w:val="es-ES"/>
            </w:rPr>
            <w:drawing>
              <wp:inline distT="0" distB="0" distL="0" distR="0">
                <wp:extent cx="533400" cy="5238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p>
      </w:tc>
    </w:tr>
  </w:tbl>
  <w:p w:rsidR="001D6891" w:rsidRDefault="001D6891" w:rsidP="001D6891">
    <w:pPr>
      <w:pStyle w:val="Piedepgina"/>
      <w:jc w:val="right"/>
      <w:rPr>
        <w:rFonts w:ascii="Arial" w:hAnsi="Arial" w:cs="Arial"/>
        <w:color w:val="333333"/>
        <w:sz w:val="18"/>
        <w:szCs w:val="18"/>
      </w:rPr>
    </w:pPr>
    <w:r>
      <w:rPr>
        <w:color w:val="333333"/>
        <w:sz w:val="18"/>
        <w:szCs w:val="18"/>
      </w:rPr>
      <w:t xml:space="preserve">Página </w:t>
    </w:r>
    <w:r>
      <w:rPr>
        <w:b/>
        <w:bCs/>
        <w:color w:val="333333"/>
        <w:sz w:val="18"/>
        <w:szCs w:val="18"/>
      </w:rPr>
      <w:fldChar w:fldCharType="begin"/>
    </w:r>
    <w:r>
      <w:rPr>
        <w:b/>
        <w:bCs/>
        <w:color w:val="333333"/>
        <w:sz w:val="18"/>
        <w:szCs w:val="18"/>
      </w:rPr>
      <w:instrText>PAGE  \* Arabic  \* MERGEFORMAT</w:instrText>
    </w:r>
    <w:r>
      <w:rPr>
        <w:b/>
        <w:bCs/>
        <w:color w:val="333333"/>
        <w:sz w:val="18"/>
        <w:szCs w:val="18"/>
      </w:rPr>
      <w:fldChar w:fldCharType="separate"/>
    </w:r>
    <w:r>
      <w:rPr>
        <w:b/>
        <w:bCs/>
        <w:color w:val="333333"/>
        <w:sz w:val="18"/>
        <w:szCs w:val="18"/>
      </w:rPr>
      <w:t>1</w:t>
    </w:r>
    <w:r>
      <w:rPr>
        <w:b/>
        <w:bCs/>
        <w:color w:val="333333"/>
        <w:sz w:val="18"/>
        <w:szCs w:val="18"/>
      </w:rPr>
      <w:fldChar w:fldCharType="end"/>
    </w:r>
    <w:r>
      <w:rPr>
        <w:color w:val="333333"/>
        <w:sz w:val="18"/>
        <w:szCs w:val="18"/>
      </w:rPr>
      <w:t xml:space="preserve"> de </w:t>
    </w:r>
    <w:r>
      <w:rPr>
        <w:b/>
        <w:bCs/>
        <w:color w:val="333333"/>
        <w:sz w:val="18"/>
        <w:szCs w:val="18"/>
      </w:rPr>
      <w:fldChar w:fldCharType="begin"/>
    </w:r>
    <w:r>
      <w:rPr>
        <w:b/>
        <w:bCs/>
        <w:color w:val="333333"/>
        <w:sz w:val="18"/>
        <w:szCs w:val="18"/>
      </w:rPr>
      <w:instrText>NUMPAGES  \* Arabic  \* MERGEFORMAT</w:instrText>
    </w:r>
    <w:r>
      <w:rPr>
        <w:b/>
        <w:bCs/>
        <w:color w:val="333333"/>
        <w:sz w:val="18"/>
        <w:szCs w:val="18"/>
      </w:rPr>
      <w:fldChar w:fldCharType="separate"/>
    </w:r>
    <w:r>
      <w:rPr>
        <w:b/>
        <w:bCs/>
        <w:color w:val="333333"/>
        <w:sz w:val="18"/>
        <w:szCs w:val="18"/>
      </w:rPr>
      <w:t>2</w:t>
    </w:r>
    <w:r>
      <w:rPr>
        <w:b/>
        <w:bCs/>
        <w:color w:val="333333"/>
        <w:sz w:val="18"/>
        <w:szCs w:val="18"/>
      </w:rPr>
      <w:fldChar w:fldCharType="end"/>
    </w:r>
  </w:p>
  <w:p w:rsidR="001D6891" w:rsidRPr="001D6891" w:rsidRDefault="001D6891" w:rsidP="001D68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BF2" w:rsidRDefault="00A81BF2" w:rsidP="00A81BF2">
      <w:pPr>
        <w:spacing w:after="0" w:line="240" w:lineRule="auto"/>
      </w:pPr>
      <w:r>
        <w:separator/>
      </w:r>
    </w:p>
  </w:footnote>
  <w:footnote w:type="continuationSeparator" w:id="0">
    <w:p w:rsidR="00A81BF2" w:rsidRDefault="00A81BF2" w:rsidP="00A81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891" w:rsidRPr="00E57533" w:rsidRDefault="001D6891" w:rsidP="001D6891">
    <w:pPr>
      <w:pStyle w:val="Encabezado"/>
      <w:ind w:right="633"/>
      <w:rPr>
        <w:color w:val="0000FF"/>
        <w:sz w:val="16"/>
        <w:szCs w:val="16"/>
      </w:rPr>
    </w:pPr>
    <w:r>
      <w:rPr>
        <w:noProof/>
      </w:rPr>
      <w:drawing>
        <wp:inline distT="0" distB="0" distL="0" distR="0" wp14:anchorId="1D317905" wp14:editId="0DFC7EC6">
          <wp:extent cx="1200150" cy="819150"/>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rcRect/>
                  <a:stretch>
                    <a:fillRect/>
                  </a:stretch>
                </pic:blipFill>
                <pic:spPr bwMode="auto">
                  <a:xfrm>
                    <a:off x="0" y="0"/>
                    <a:ext cx="1200150" cy="819150"/>
                  </a:xfrm>
                  <a:prstGeom prst="rect">
                    <a:avLst/>
                  </a:prstGeom>
                  <a:noFill/>
                  <a:ln w="9525">
                    <a:noFill/>
                    <a:miter lim="800000"/>
                    <a:headEnd/>
                    <a:tailEnd/>
                  </a:ln>
                </pic:spPr>
              </pic:pic>
            </a:graphicData>
          </a:graphic>
        </wp:inline>
      </w:drawing>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Impreso DPD-04-07</w:t>
    </w:r>
    <w:r w:rsidRPr="00565933">
      <w:rPr>
        <w:sz w:val="16"/>
        <w:szCs w:val="16"/>
      </w:rPr>
      <w:t>/</w:t>
    </w:r>
    <w:r w:rsidR="00E57533" w:rsidRPr="00565933">
      <w:rPr>
        <w:sz w:val="16"/>
        <w:szCs w:val="16"/>
      </w:rPr>
      <w:t>2</w:t>
    </w:r>
  </w:p>
  <w:p w:rsidR="001D6891" w:rsidRDefault="001D6891" w:rsidP="001D6891">
    <w:pPr>
      <w:pStyle w:val="Encabezado"/>
      <w:ind w:right="633"/>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06/04/18</w:t>
    </w:r>
  </w:p>
  <w:p w:rsidR="00A81BF2" w:rsidRDefault="00A81BF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87"/>
    <w:rsid w:val="0015641F"/>
    <w:rsid w:val="001D6891"/>
    <w:rsid w:val="003B29B5"/>
    <w:rsid w:val="00462F87"/>
    <w:rsid w:val="00565933"/>
    <w:rsid w:val="00891C0E"/>
    <w:rsid w:val="008959DB"/>
    <w:rsid w:val="00A81BF2"/>
    <w:rsid w:val="00CB1AC3"/>
    <w:rsid w:val="00E575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782BF7"/>
  <w15:chartTrackingRefBased/>
  <w15:docId w15:val="{F3D781DE-0E00-4722-99C2-A0E298F4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2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81B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1BF2"/>
  </w:style>
  <w:style w:type="paragraph" w:styleId="Piedepgina">
    <w:name w:val="footer"/>
    <w:basedOn w:val="Normal"/>
    <w:link w:val="PiedepginaCar"/>
    <w:uiPriority w:val="99"/>
    <w:unhideWhenUsed/>
    <w:rsid w:val="00A81B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1BF2"/>
  </w:style>
  <w:style w:type="paragraph" w:customStyle="1" w:styleId="Prrafobsico">
    <w:name w:val="[Párrafo básico]"/>
    <w:basedOn w:val="Normal"/>
    <w:uiPriority w:val="99"/>
    <w:rsid w:val="001D6891"/>
    <w:pPr>
      <w:autoSpaceDE w:val="0"/>
      <w:autoSpaceDN w:val="0"/>
      <w:adjustRightInd w:val="0"/>
      <w:spacing w:after="0" w:line="288" w:lineRule="auto"/>
    </w:pPr>
    <w:rPr>
      <w:rFonts w:ascii="Times" w:eastAsia="Times New Roman" w:hAnsi="Times" w:cs="Times"/>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608">
      <w:bodyDiv w:val="1"/>
      <w:marLeft w:val="0"/>
      <w:marRight w:val="0"/>
      <w:marTop w:val="0"/>
      <w:marBottom w:val="0"/>
      <w:divBdr>
        <w:top w:val="none" w:sz="0" w:space="0" w:color="auto"/>
        <w:left w:val="none" w:sz="0" w:space="0" w:color="auto"/>
        <w:bottom w:val="none" w:sz="0" w:space="0" w:color="auto"/>
        <w:right w:val="none" w:sz="0" w:space="0" w:color="auto"/>
      </w:divBdr>
    </w:div>
    <w:div w:id="418985297">
      <w:bodyDiv w:val="1"/>
      <w:marLeft w:val="0"/>
      <w:marRight w:val="0"/>
      <w:marTop w:val="0"/>
      <w:marBottom w:val="0"/>
      <w:divBdr>
        <w:top w:val="none" w:sz="0" w:space="0" w:color="auto"/>
        <w:left w:val="none" w:sz="0" w:space="0" w:color="auto"/>
        <w:bottom w:val="none" w:sz="0" w:space="0" w:color="auto"/>
        <w:right w:val="none" w:sz="0" w:space="0" w:color="auto"/>
      </w:divBdr>
    </w:div>
    <w:div w:id="617025839">
      <w:bodyDiv w:val="1"/>
      <w:marLeft w:val="0"/>
      <w:marRight w:val="0"/>
      <w:marTop w:val="0"/>
      <w:marBottom w:val="0"/>
      <w:divBdr>
        <w:top w:val="none" w:sz="0" w:space="0" w:color="auto"/>
        <w:left w:val="none" w:sz="0" w:space="0" w:color="auto"/>
        <w:bottom w:val="none" w:sz="0" w:space="0" w:color="auto"/>
        <w:right w:val="none" w:sz="0" w:space="0" w:color="auto"/>
      </w:divBdr>
    </w:div>
    <w:div w:id="617878712">
      <w:bodyDiv w:val="1"/>
      <w:marLeft w:val="0"/>
      <w:marRight w:val="0"/>
      <w:marTop w:val="0"/>
      <w:marBottom w:val="0"/>
      <w:divBdr>
        <w:top w:val="none" w:sz="0" w:space="0" w:color="auto"/>
        <w:left w:val="none" w:sz="0" w:space="0" w:color="auto"/>
        <w:bottom w:val="none" w:sz="0" w:space="0" w:color="auto"/>
        <w:right w:val="none" w:sz="0" w:space="0" w:color="auto"/>
      </w:divBdr>
    </w:div>
    <w:div w:id="712003451">
      <w:bodyDiv w:val="1"/>
      <w:marLeft w:val="0"/>
      <w:marRight w:val="0"/>
      <w:marTop w:val="0"/>
      <w:marBottom w:val="0"/>
      <w:divBdr>
        <w:top w:val="none" w:sz="0" w:space="0" w:color="auto"/>
        <w:left w:val="none" w:sz="0" w:space="0" w:color="auto"/>
        <w:bottom w:val="none" w:sz="0" w:space="0" w:color="auto"/>
        <w:right w:val="none" w:sz="0" w:space="0" w:color="auto"/>
      </w:divBdr>
    </w:div>
    <w:div w:id="1243418769">
      <w:bodyDiv w:val="1"/>
      <w:marLeft w:val="0"/>
      <w:marRight w:val="0"/>
      <w:marTop w:val="0"/>
      <w:marBottom w:val="0"/>
      <w:divBdr>
        <w:top w:val="none" w:sz="0" w:space="0" w:color="auto"/>
        <w:left w:val="none" w:sz="0" w:space="0" w:color="auto"/>
        <w:bottom w:val="none" w:sz="0" w:space="0" w:color="auto"/>
        <w:right w:val="none" w:sz="0" w:space="0" w:color="auto"/>
      </w:divBdr>
    </w:div>
    <w:div w:id="2112626271">
      <w:bodyDiv w:val="1"/>
      <w:marLeft w:val="0"/>
      <w:marRight w:val="0"/>
      <w:marTop w:val="0"/>
      <w:marBottom w:val="0"/>
      <w:divBdr>
        <w:top w:val="none" w:sz="0" w:space="0" w:color="auto"/>
        <w:left w:val="none" w:sz="0" w:space="0" w:color="auto"/>
        <w:bottom w:val="none" w:sz="0" w:space="0" w:color="auto"/>
        <w:right w:val="none" w:sz="0" w:space="0" w:color="auto"/>
      </w:divBdr>
    </w:div>
    <w:div w:id="21312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6EA7F09C.dotm</Template>
  <TotalTime>38</TotalTime>
  <Pages>12</Pages>
  <Words>1744</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Ausell Roca</dc:creator>
  <cp:keywords/>
  <dc:description/>
  <cp:lastModifiedBy>Rosario Lucas Muñoz</cp:lastModifiedBy>
  <cp:revision>6</cp:revision>
  <dcterms:created xsi:type="dcterms:W3CDTF">2018-04-06T08:52:00Z</dcterms:created>
  <dcterms:modified xsi:type="dcterms:W3CDTF">2018-04-06T12:32:00Z</dcterms:modified>
</cp:coreProperties>
</file>